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A04C" w14:textId="363123B3" w:rsidR="00F47FF0" w:rsidRPr="00480B3E" w:rsidRDefault="00F47FF0" w:rsidP="00480B3E">
      <w:pPr>
        <w:widowControl/>
        <w:adjustRightInd w:val="0"/>
        <w:snapToGrid w:val="0"/>
        <w:spacing w:after="100" w:afterAutospacing="1" w:line="360" w:lineRule="auto"/>
        <w:ind w:firstLine="390"/>
        <w:jc w:val="center"/>
        <w:rPr>
          <w:rFonts w:ascii="宋体" w:eastAsia="宋体" w:hAnsi="宋体" w:cs="宋体"/>
          <w:b/>
          <w:kern w:val="0"/>
          <w:sz w:val="40"/>
          <w:szCs w:val="40"/>
        </w:rPr>
      </w:pPr>
      <w:r w:rsidRPr="00480B3E">
        <w:rPr>
          <w:rFonts w:ascii="宋体" w:eastAsia="宋体" w:hAnsi="宋体" w:cs="宋体" w:hint="eastAsia"/>
          <w:b/>
          <w:color w:val="333333"/>
          <w:kern w:val="0"/>
          <w:sz w:val="40"/>
          <w:szCs w:val="40"/>
        </w:rPr>
        <w:t>投资管理制度</w:t>
      </w:r>
    </w:p>
    <w:p w14:paraId="78E27E6A" w14:textId="1206F565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FE3B27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一、</w:t>
      </w:r>
      <w:r w:rsidRPr="003B415C">
        <w:rPr>
          <w:rFonts w:ascii="Calibri" w:eastAsia="仿宋" w:hAnsi="Calibri" w:cs="Calibri"/>
          <w:b/>
          <w:bCs/>
          <w:color w:val="333333"/>
          <w:kern w:val="0"/>
          <w:sz w:val="30"/>
          <w:szCs w:val="30"/>
        </w:rPr>
        <w:t> 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为了规范本基金会投资行为，根据</w:t>
      </w:r>
      <w:r w:rsidRPr="003B415C">
        <w:rPr>
          <w:rFonts w:ascii="仿宋" w:eastAsia="仿宋" w:hAnsi="仿宋" w:cs="宋体" w:hint="eastAsia"/>
          <w:bCs/>
          <w:kern w:val="0"/>
          <w:sz w:val="30"/>
          <w:szCs w:val="30"/>
        </w:rPr>
        <w:t>《中华人民共和国慈善法》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、《基金会管理条例》、《民间非营利组织会计制度》等法律、法规及本基金会章程和财务管理制度，制定本制度。</w:t>
      </w:r>
    </w:p>
    <w:p w14:paraId="24189D8C" w14:textId="3000F105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本基金会投资,包括一年内短期投资和一年以上长期投资。</w:t>
      </w:r>
    </w:p>
    <w:p w14:paraId="5F60D335" w14:textId="2F2B11AD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FE3B27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三、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本基金会投资管理的基本原则是：合法、谨慎、安全、有效。</w:t>
      </w:r>
    </w:p>
    <w:p w14:paraId="20937FCF" w14:textId="1938841C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FE3B27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四、本基金会按照《民间非营利组织会计制度》及本基金会财务管理制度对投资资产进行会计核算和信息披露。</w:t>
      </w:r>
      <w:r w:rsidRPr="003B415C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</w:p>
    <w:p w14:paraId="559ADCB9" w14:textId="2830E689" w:rsidR="00F47FF0" w:rsidRPr="00F25916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五</w:t>
      </w:r>
      <w:r w:rsidRPr="00F2591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、理事会对投资管理履行决策职责：</w:t>
      </w:r>
    </w:p>
    <w:p w14:paraId="31128BB6" w14:textId="77777777" w:rsidR="00F47FF0" w:rsidRPr="00F25916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F2591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（一）制定投资管理的规章制度；</w:t>
      </w:r>
    </w:p>
    <w:p w14:paraId="2F868B2D" w14:textId="58E0999E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F2591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（二）制定年度投资计划；</w:t>
      </w:r>
      <w:r w:rsidR="00F25916" w:rsidRPr="003B415C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</w:p>
    <w:p w14:paraId="579610D1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（三）决定重大投资活动。</w:t>
      </w:r>
    </w:p>
    <w:p w14:paraId="3310091A" w14:textId="7708F0BB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六、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秘书处对理事会负责，履行以下职责：</w:t>
      </w:r>
    </w:p>
    <w:p w14:paraId="093A08DC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（一）执行理事会制定的投资管理制度及其它有关决议；</w:t>
      </w:r>
    </w:p>
    <w:p w14:paraId="12728E4E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（二）执行年度投资计划;</w:t>
      </w:r>
    </w:p>
    <w:p w14:paraId="4DBDB09D" w14:textId="77777777" w:rsidR="00FC466F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（三）负责投资管理与会计核算，定期向理事会报告；</w:t>
      </w:r>
    </w:p>
    <w:p w14:paraId="15027566" w14:textId="308086BC" w:rsidR="00F47FF0" w:rsidRPr="003B415C" w:rsidRDefault="00F47FF0" w:rsidP="00FC466F">
      <w:pPr>
        <w:widowControl/>
        <w:adjustRightInd w:val="0"/>
        <w:spacing w:after="100" w:afterAutospacing="1"/>
        <w:contextualSpacing/>
        <w:rPr>
          <w:rFonts w:ascii="仿宋" w:eastAsia="仿宋" w:hAnsi="仿宋"/>
          <w:color w:val="333333"/>
          <w:sz w:val="30"/>
          <w:szCs w:val="30"/>
        </w:rPr>
      </w:pPr>
      <w:r w:rsidRPr="003B415C">
        <w:rPr>
          <w:rFonts w:ascii="仿宋" w:eastAsia="仿宋" w:hAnsi="仿宋" w:hint="eastAsia"/>
          <w:b/>
          <w:bCs/>
          <w:color w:val="333333"/>
          <w:sz w:val="30"/>
          <w:szCs w:val="30"/>
        </w:rPr>
        <w:t>七、</w:t>
      </w:r>
      <w:r w:rsidRPr="003B415C">
        <w:rPr>
          <w:rFonts w:ascii="仿宋" w:eastAsia="仿宋" w:hAnsi="仿宋" w:hint="eastAsia"/>
          <w:color w:val="333333"/>
          <w:sz w:val="30"/>
          <w:szCs w:val="30"/>
        </w:rPr>
        <w:t>本基金会可用于投资的资产限于非限定性资产、</w:t>
      </w:r>
      <w:r w:rsidRPr="003B415C">
        <w:rPr>
          <w:rFonts w:ascii="仿宋" w:eastAsia="仿宋" w:hAnsi="仿宋" w:hint="eastAsia"/>
          <w:color w:val="666666"/>
          <w:sz w:val="30"/>
          <w:szCs w:val="30"/>
        </w:rPr>
        <w:t>在保值增值期间暂不需要拨付的限定性资产</w:t>
      </w:r>
      <w:r w:rsidRPr="003B415C">
        <w:rPr>
          <w:rFonts w:ascii="仿宋" w:eastAsia="仿宋" w:hAnsi="仿宋" w:hint="eastAsia"/>
          <w:color w:val="333333"/>
          <w:sz w:val="30"/>
          <w:szCs w:val="30"/>
        </w:rPr>
        <w:t>和法律法规允许用于投资的资产。如果捐赠人对捐赠财产能否投资和如何投资有特别约定，本基金会应遵守约定。</w:t>
      </w:r>
    </w:p>
    <w:p w14:paraId="1A5E7ECF" w14:textId="2D082368" w:rsidR="00F47FF0" w:rsidRPr="003B415C" w:rsidRDefault="00F47FF0" w:rsidP="00FC466F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contextualSpacing/>
        <w:jc w:val="both"/>
        <w:rPr>
          <w:rFonts w:ascii="仿宋" w:eastAsia="仿宋" w:hAnsi="仿宋"/>
          <w:color w:val="666666"/>
          <w:sz w:val="30"/>
          <w:szCs w:val="30"/>
        </w:rPr>
      </w:pPr>
      <w:r w:rsidRPr="003B415C">
        <w:rPr>
          <w:rFonts w:ascii="仿宋" w:eastAsia="仿宋" w:hAnsi="仿宋" w:hint="eastAsia"/>
          <w:b/>
          <w:bCs/>
          <w:color w:val="333333"/>
          <w:sz w:val="30"/>
          <w:szCs w:val="30"/>
        </w:rPr>
        <w:lastRenderedPageBreak/>
        <w:t>八、</w:t>
      </w:r>
      <w:r w:rsidRPr="003B415C">
        <w:rPr>
          <w:rFonts w:ascii="仿宋" w:eastAsia="仿宋" w:hAnsi="仿宋" w:hint="eastAsia"/>
          <w:color w:val="666666"/>
          <w:sz w:val="30"/>
          <w:szCs w:val="30"/>
        </w:rPr>
        <w:t>基金会进行委托投资，应当委托银行或者其他金融机构进行。</w:t>
      </w:r>
    </w:p>
    <w:p w14:paraId="363379E1" w14:textId="2C430ECB" w:rsidR="00F47FF0" w:rsidRPr="003B415C" w:rsidRDefault="00F47FF0" w:rsidP="00FC466F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contextualSpacing/>
        <w:jc w:val="both"/>
        <w:rPr>
          <w:rFonts w:ascii="仿宋" w:eastAsia="仿宋" w:hAnsi="仿宋"/>
          <w:color w:val="333333"/>
          <w:sz w:val="30"/>
          <w:szCs w:val="30"/>
        </w:rPr>
      </w:pPr>
      <w:r w:rsidRPr="003B415C">
        <w:rPr>
          <w:rFonts w:ascii="仿宋" w:eastAsia="仿宋" w:hAnsi="仿宋" w:hint="eastAsia"/>
          <w:b/>
          <w:bCs/>
          <w:color w:val="333333"/>
          <w:sz w:val="30"/>
          <w:szCs w:val="30"/>
        </w:rPr>
        <w:t>九、</w:t>
      </w:r>
      <w:r w:rsidRPr="003B415C">
        <w:rPr>
          <w:rFonts w:ascii="仿宋" w:eastAsia="仿宋" w:hAnsi="仿宋" w:hint="eastAsia"/>
          <w:color w:val="333333"/>
          <w:sz w:val="30"/>
          <w:szCs w:val="30"/>
        </w:rPr>
        <w:t>本基金会必须保持足够的现金和货币市场基金等流动性较高的资产，以保证按捐赠和资助协议的约定及时、足额划拨。</w:t>
      </w:r>
    </w:p>
    <w:p w14:paraId="07B546E7" w14:textId="239B5C90" w:rsid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十、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本基金会的投资品种，仅限于银行存款、国债、货币市场基金、及其他固定收益类或保本型金融产品等常规产品。</w:t>
      </w:r>
    </w:p>
    <w:p w14:paraId="3B4142B4" w14:textId="59EA943A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十一、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本基金会禁止以下行为：</w:t>
      </w:r>
    </w:p>
    <w:p w14:paraId="51A8D013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（一）提供担保；</w:t>
      </w:r>
    </w:p>
    <w:p w14:paraId="54435D31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（二）对外借款；</w:t>
      </w:r>
    </w:p>
    <w:p w14:paraId="375AF70B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（三）在二级市场直接买卖股票；</w:t>
      </w:r>
    </w:p>
    <w:p w14:paraId="37C43D75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（四）国家法律法规禁止的其他投资行为。</w:t>
      </w:r>
    </w:p>
    <w:p w14:paraId="7E7690E2" w14:textId="77777777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十二、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投资项目的审批权限规定如下：</w:t>
      </w:r>
    </w:p>
    <w:p w14:paraId="25A13713" w14:textId="4AAEF251" w:rsidR="00F47FF0" w:rsidRPr="003B415C" w:rsidRDefault="00F47FF0" w:rsidP="00FC466F">
      <w:pPr>
        <w:widowControl/>
        <w:adjustRightInd w:val="0"/>
        <w:spacing w:after="100" w:afterAutospacing="1" w:line="360" w:lineRule="auto"/>
        <w:ind w:firstLine="391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（一）基金会按年度财务计划，投资属于第十条规定的单笔金额不超过1千万元的银行定期存款(大额存单)、保本理财产品,以及</w:t>
      </w:r>
      <w:r w:rsidRPr="003B415C">
        <w:rPr>
          <w:rFonts w:ascii="仿宋" w:eastAsia="仿宋" w:hAnsi="仿宋" w:cs="宋体" w:hint="eastAsia"/>
          <w:kern w:val="0"/>
          <w:sz w:val="30"/>
          <w:szCs w:val="30"/>
        </w:rPr>
        <w:t>前一年投资理财产品续约,由</w:t>
      </w:r>
      <w:r w:rsidR="00F25916">
        <w:rPr>
          <w:rFonts w:ascii="仿宋" w:eastAsia="仿宋" w:hAnsi="仿宋" w:cs="宋体" w:hint="eastAsia"/>
          <w:kern w:val="0"/>
          <w:sz w:val="30"/>
          <w:szCs w:val="30"/>
        </w:rPr>
        <w:t>理事长</w:t>
      </w:r>
      <w:r w:rsidRPr="003B415C">
        <w:rPr>
          <w:rFonts w:ascii="仿宋" w:eastAsia="仿宋" w:hAnsi="仿宋" w:cs="宋体" w:hint="eastAsia"/>
          <w:kern w:val="0"/>
          <w:sz w:val="30"/>
          <w:szCs w:val="30"/>
        </w:rPr>
        <w:t>审批；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单笔金额高于1千万元的定期存款(大额存单)、保本理财产品和投资其他常规产品由理事会审批。</w:t>
      </w:r>
    </w:p>
    <w:p w14:paraId="34CA88E1" w14:textId="1745482B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十三、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在投资决策前，秘书处应当对投资项目进行可行性论证，必要时可聘请专家或专业机构论证。</w:t>
      </w:r>
    </w:p>
    <w:p w14:paraId="58F1E353" w14:textId="73AB566F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十四、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对发生以下行为，对有关责任人员视情节轻重</w:t>
      </w:r>
      <w:r w:rsidR="00F2591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给予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警告、辞退或开除处分；造成资产损失的，根据规定进行赔偿；触犯刑律的，移交司法机关处理：</w:t>
      </w:r>
    </w:p>
    <w:p w14:paraId="52AABAD9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（一）未经规定程序审批，擅自投资；</w:t>
      </w:r>
    </w:p>
    <w:p w14:paraId="7ACEEC8C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（二）以本基金会资产为自己或他人谋取私利；</w:t>
      </w:r>
    </w:p>
    <w:p w14:paraId="6F55AF44" w14:textId="77777777" w:rsidR="00F47FF0" w:rsidRPr="003B415C" w:rsidRDefault="00F47FF0" w:rsidP="00FC466F">
      <w:pPr>
        <w:widowControl/>
        <w:adjustRightInd w:val="0"/>
        <w:spacing w:after="100" w:afterAutospacing="1"/>
        <w:ind w:firstLine="390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（三）玩忽职守；</w:t>
      </w:r>
    </w:p>
    <w:p w14:paraId="4531C002" w14:textId="6E974CA7" w:rsidR="00F47FF0" w:rsidRPr="003B415C" w:rsidRDefault="00F47FF0" w:rsidP="00FC466F">
      <w:pPr>
        <w:widowControl/>
        <w:adjustRightInd w:val="0"/>
        <w:spacing w:after="100" w:afterAutospacing="1" w:line="360" w:lineRule="auto"/>
        <w:contextualSpacing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B415C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十五、</w:t>
      </w:r>
      <w:r w:rsidRPr="003B415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由于国家法律、政策发生重大变化或出现自然灾害等不可抗力原因造成资产损失的，不追究管理人员的责任。</w:t>
      </w:r>
    </w:p>
    <w:p w14:paraId="7178D73A" w14:textId="77777777" w:rsidR="003F191F" w:rsidRDefault="003F191F" w:rsidP="00FC466F">
      <w:pPr>
        <w:adjustRightInd w:val="0"/>
        <w:spacing w:line="360" w:lineRule="auto"/>
        <w:contextualSpacing/>
        <w:rPr>
          <w:rFonts w:ascii="仿宋" w:eastAsia="仿宋" w:hAnsi="仿宋" w:cs="宋体"/>
          <w:kern w:val="0"/>
          <w:sz w:val="30"/>
          <w:szCs w:val="30"/>
          <w:highlight w:val="yellow"/>
        </w:rPr>
      </w:pPr>
    </w:p>
    <w:p w14:paraId="560EA8FE" w14:textId="77777777" w:rsidR="006206AB" w:rsidRDefault="006206AB" w:rsidP="006206AB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0B75F6D6" w14:textId="77777777" w:rsidR="006206AB" w:rsidRDefault="006206AB" w:rsidP="006206AB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478B2C0F" w14:textId="77777777" w:rsidR="006206AB" w:rsidRDefault="006206AB" w:rsidP="006206AB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65F800D0" w14:textId="51972A84" w:rsidR="00F47FF0" w:rsidRPr="003B415C" w:rsidRDefault="00F47FF0" w:rsidP="003B415C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F25916">
        <w:rPr>
          <w:rFonts w:ascii="仿宋" w:eastAsia="仿宋" w:hAnsi="仿宋" w:cs="宋体" w:hint="eastAsia"/>
          <w:kern w:val="0"/>
          <w:sz w:val="30"/>
          <w:szCs w:val="30"/>
        </w:rPr>
        <w:t>本制度</w:t>
      </w:r>
      <w:r w:rsidR="00F25916" w:rsidRPr="00F25916">
        <w:rPr>
          <w:rFonts w:ascii="仿宋" w:eastAsia="仿宋" w:hAnsi="仿宋" w:cs="宋体" w:hint="eastAsia"/>
          <w:kern w:val="0"/>
          <w:sz w:val="30"/>
          <w:szCs w:val="30"/>
        </w:rPr>
        <w:t>（修订）</w:t>
      </w:r>
      <w:r w:rsidRPr="00F25916">
        <w:rPr>
          <w:rFonts w:ascii="仿宋" w:eastAsia="仿宋" w:hAnsi="仿宋" w:cs="宋体" w:hint="eastAsia"/>
          <w:kern w:val="0"/>
          <w:sz w:val="30"/>
          <w:szCs w:val="30"/>
        </w:rPr>
        <w:t>经2</w:t>
      </w:r>
      <w:r w:rsidRPr="00F25916">
        <w:rPr>
          <w:rFonts w:ascii="仿宋" w:eastAsia="仿宋" w:hAnsi="仿宋" w:cs="宋体"/>
          <w:kern w:val="0"/>
          <w:sz w:val="30"/>
          <w:szCs w:val="30"/>
        </w:rPr>
        <w:t>023</w:t>
      </w:r>
      <w:r w:rsidRPr="00F25916">
        <w:rPr>
          <w:rFonts w:ascii="仿宋" w:eastAsia="仿宋" w:hAnsi="仿宋" w:cs="宋体" w:hint="eastAsia"/>
          <w:kern w:val="0"/>
          <w:sz w:val="30"/>
          <w:szCs w:val="30"/>
        </w:rPr>
        <w:t>年1</w:t>
      </w:r>
      <w:r w:rsidRPr="00F25916">
        <w:rPr>
          <w:rFonts w:ascii="仿宋" w:eastAsia="仿宋" w:hAnsi="仿宋" w:cs="宋体"/>
          <w:kern w:val="0"/>
          <w:sz w:val="30"/>
          <w:szCs w:val="30"/>
        </w:rPr>
        <w:t>2</w:t>
      </w:r>
      <w:r w:rsidRPr="00F25916">
        <w:rPr>
          <w:rFonts w:ascii="仿宋" w:eastAsia="仿宋" w:hAnsi="仿宋" w:cs="宋体" w:hint="eastAsia"/>
          <w:kern w:val="0"/>
          <w:sz w:val="30"/>
          <w:szCs w:val="30"/>
        </w:rPr>
        <w:t>月1</w:t>
      </w:r>
      <w:r w:rsidRPr="00F25916">
        <w:rPr>
          <w:rFonts w:ascii="仿宋" w:eastAsia="仿宋" w:hAnsi="仿宋" w:cs="宋体"/>
          <w:kern w:val="0"/>
          <w:sz w:val="30"/>
          <w:szCs w:val="30"/>
        </w:rPr>
        <w:t>2</w:t>
      </w:r>
      <w:r w:rsidRPr="00F25916">
        <w:rPr>
          <w:rFonts w:ascii="仿宋" w:eastAsia="仿宋" w:hAnsi="仿宋" w:cs="宋体" w:hint="eastAsia"/>
          <w:kern w:val="0"/>
          <w:sz w:val="30"/>
          <w:szCs w:val="30"/>
        </w:rPr>
        <w:t>日第三届第七次理事会审议表决通过。</w:t>
      </w:r>
    </w:p>
    <w:sectPr w:rsidR="00F47FF0" w:rsidRPr="003B415C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C2E8" w14:textId="77777777" w:rsidR="000B48E1" w:rsidRDefault="000B48E1" w:rsidP="009532A4">
      <w:r>
        <w:separator/>
      </w:r>
    </w:p>
  </w:endnote>
  <w:endnote w:type="continuationSeparator" w:id="0">
    <w:p w14:paraId="756414F4" w14:textId="77777777" w:rsidR="000B48E1" w:rsidRDefault="000B48E1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r w:rsidRPr="00F44F98">
      <w:rPr>
        <w:rFonts w:ascii="宋体" w:eastAsia="宋体" w:hAnsi="宋体"/>
        <w:color w:val="FF0000"/>
      </w:rPr>
      <w:t>36号百朗园A2段616室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40E6" w14:textId="77777777" w:rsidR="000B48E1" w:rsidRDefault="000B48E1" w:rsidP="009532A4">
      <w:r>
        <w:separator/>
      </w:r>
    </w:p>
  </w:footnote>
  <w:footnote w:type="continuationSeparator" w:id="0">
    <w:p w14:paraId="04F41A96" w14:textId="77777777" w:rsidR="000B48E1" w:rsidRDefault="000B48E1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8E1"/>
    <w:rsid w:val="000B49B0"/>
    <w:rsid w:val="000C312B"/>
    <w:rsid w:val="00126FF8"/>
    <w:rsid w:val="001860A4"/>
    <w:rsid w:val="001B62A4"/>
    <w:rsid w:val="002D0C76"/>
    <w:rsid w:val="00303FC2"/>
    <w:rsid w:val="00312F14"/>
    <w:rsid w:val="003B415C"/>
    <w:rsid w:val="003F191F"/>
    <w:rsid w:val="00480B3E"/>
    <w:rsid w:val="004D7440"/>
    <w:rsid w:val="0052022B"/>
    <w:rsid w:val="00537DD4"/>
    <w:rsid w:val="00613855"/>
    <w:rsid w:val="006206AB"/>
    <w:rsid w:val="006B4280"/>
    <w:rsid w:val="006D2276"/>
    <w:rsid w:val="006E700B"/>
    <w:rsid w:val="00747521"/>
    <w:rsid w:val="00751441"/>
    <w:rsid w:val="00762B2A"/>
    <w:rsid w:val="00854A16"/>
    <w:rsid w:val="00880F6F"/>
    <w:rsid w:val="0093159E"/>
    <w:rsid w:val="009532A4"/>
    <w:rsid w:val="00A561D9"/>
    <w:rsid w:val="00A87684"/>
    <w:rsid w:val="00AA4865"/>
    <w:rsid w:val="00AF52CD"/>
    <w:rsid w:val="00B02BF8"/>
    <w:rsid w:val="00B10F00"/>
    <w:rsid w:val="00B75F6B"/>
    <w:rsid w:val="00BA40DD"/>
    <w:rsid w:val="00C43D7D"/>
    <w:rsid w:val="00D33A96"/>
    <w:rsid w:val="00E66EFA"/>
    <w:rsid w:val="00F25916"/>
    <w:rsid w:val="00F44F98"/>
    <w:rsid w:val="00F47FF0"/>
    <w:rsid w:val="00F51E88"/>
    <w:rsid w:val="00F72491"/>
    <w:rsid w:val="00FA1F58"/>
    <w:rsid w:val="00FB5868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10</cp:revision>
  <cp:lastPrinted>2021-03-08T02:11:00Z</cp:lastPrinted>
  <dcterms:created xsi:type="dcterms:W3CDTF">2023-10-30T08:53:00Z</dcterms:created>
  <dcterms:modified xsi:type="dcterms:W3CDTF">2023-11-13T07:32:00Z</dcterms:modified>
</cp:coreProperties>
</file>