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818A" w14:textId="73A7CD31" w:rsidR="00A048F0" w:rsidRDefault="00A048F0" w:rsidP="00A048F0">
      <w:pPr>
        <w:adjustRightInd w:val="0"/>
        <w:snapToGrid w:val="0"/>
        <w:spacing w:line="360" w:lineRule="auto"/>
        <w:jc w:val="center"/>
        <w:rPr>
          <w:rFonts w:ascii="宋体" w:eastAsia="宋体" w:hAnsi="宋体" w:cs="宋体"/>
          <w:b/>
          <w:color w:val="333333"/>
          <w:kern w:val="0"/>
          <w:sz w:val="36"/>
          <w:szCs w:val="36"/>
        </w:rPr>
      </w:pPr>
      <w:r w:rsidRPr="00A048F0">
        <w:rPr>
          <w:rFonts w:ascii="宋体" w:eastAsia="宋体" w:hAnsi="宋体" w:cs="宋体" w:hint="eastAsia"/>
          <w:b/>
          <w:color w:val="333333"/>
          <w:kern w:val="0"/>
          <w:sz w:val="36"/>
          <w:szCs w:val="36"/>
        </w:rPr>
        <w:t>关于公益项目管理的若干规定</w:t>
      </w:r>
    </w:p>
    <w:p w14:paraId="2646BAEF" w14:textId="77777777" w:rsidR="00A048F0" w:rsidRPr="00A048F0" w:rsidRDefault="00A048F0" w:rsidP="00A048F0">
      <w:pPr>
        <w:adjustRightInd w:val="0"/>
        <w:snapToGrid w:val="0"/>
        <w:spacing w:line="360" w:lineRule="auto"/>
        <w:jc w:val="center"/>
        <w:rPr>
          <w:rFonts w:ascii="宋体" w:eastAsia="宋体" w:hAnsi="宋体" w:cs="宋体"/>
          <w:b/>
          <w:color w:val="333333"/>
          <w:kern w:val="0"/>
          <w:sz w:val="36"/>
          <w:szCs w:val="36"/>
        </w:rPr>
      </w:pPr>
    </w:p>
    <w:p w14:paraId="4B5635D7" w14:textId="0777B43C" w:rsidR="00A048F0" w:rsidRPr="00A048F0" w:rsidRDefault="00A048F0" w:rsidP="00A048F0">
      <w:pPr>
        <w:adjustRightInd w:val="0"/>
        <w:snapToGrid w:val="0"/>
        <w:spacing w:line="360" w:lineRule="auto"/>
        <w:ind w:firstLine="420"/>
        <w:rPr>
          <w:rFonts w:ascii="仿宋" w:eastAsia="仿宋" w:hAnsi="仿宋" w:cs="宋体"/>
          <w:bCs/>
          <w:color w:val="333333"/>
          <w:kern w:val="0"/>
          <w:sz w:val="30"/>
          <w:szCs w:val="30"/>
        </w:rPr>
      </w:pPr>
      <w:r w:rsidRPr="00A048F0">
        <w:rPr>
          <w:rFonts w:ascii="仿宋" w:eastAsia="仿宋" w:hAnsi="仿宋" w:cs="宋体" w:hint="eastAsia"/>
          <w:bCs/>
          <w:color w:val="333333"/>
          <w:kern w:val="0"/>
          <w:sz w:val="30"/>
          <w:szCs w:val="30"/>
        </w:rPr>
        <w:t>为确保基金会恪守公益宗旨，规范项目运营，进一步促进基金会健康发展，</w:t>
      </w:r>
      <w:r w:rsidRPr="00A048F0">
        <w:rPr>
          <w:rFonts w:ascii="仿宋" w:eastAsia="仿宋" w:hAnsi="仿宋" w:cs="宋体"/>
          <w:bCs/>
          <w:color w:val="333333"/>
          <w:kern w:val="0"/>
          <w:sz w:val="30"/>
          <w:szCs w:val="30"/>
        </w:rPr>
        <w:t>现对基金会面向社会的公益项目运行做如下规定：</w:t>
      </w:r>
    </w:p>
    <w:p w14:paraId="455C677A" w14:textId="10962EDF"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1.凡属在基金会立项之项目(基金会发起并主办),项目的启动会、中期 报告会及终期报告会</w:t>
      </w:r>
      <w:r>
        <w:rPr>
          <w:rFonts w:ascii="仿宋" w:eastAsia="仿宋" w:hAnsi="仿宋" w:cs="宋体" w:hint="eastAsia"/>
          <w:bCs/>
          <w:color w:val="333333"/>
          <w:kern w:val="0"/>
          <w:sz w:val="30"/>
          <w:szCs w:val="30"/>
        </w:rPr>
        <w:t>等，</w:t>
      </w:r>
      <w:r w:rsidRPr="00A048F0">
        <w:rPr>
          <w:rFonts w:ascii="仿宋" w:eastAsia="仿宋" w:hAnsi="仿宋" w:cs="宋体"/>
          <w:bCs/>
          <w:color w:val="333333"/>
          <w:kern w:val="0"/>
          <w:sz w:val="30"/>
          <w:szCs w:val="30"/>
        </w:rPr>
        <w:t>均需在各项活动预定执行日期前一周向基金会报备</w:t>
      </w:r>
      <w:r>
        <w:rPr>
          <w:rFonts w:ascii="仿宋" w:eastAsia="仿宋" w:hAnsi="仿宋" w:cs="宋体" w:hint="eastAsia"/>
          <w:bCs/>
          <w:color w:val="333333"/>
          <w:kern w:val="0"/>
          <w:sz w:val="30"/>
          <w:szCs w:val="30"/>
        </w:rPr>
        <w:t>，包括：</w:t>
      </w:r>
      <w:r w:rsidRPr="00A048F0">
        <w:rPr>
          <w:rFonts w:ascii="仿宋" w:eastAsia="仿宋" w:hAnsi="仿宋" w:cs="宋体"/>
          <w:bCs/>
          <w:color w:val="333333"/>
          <w:kern w:val="0"/>
          <w:sz w:val="30"/>
          <w:szCs w:val="30"/>
        </w:rPr>
        <w:t>会议主题背板、横幅、易拉宝(会议简介、日程、引导牌等)和会议幻灯片及基金会就具体项目另行要求的其他资料。</w:t>
      </w:r>
    </w:p>
    <w:p w14:paraId="1BEC2539" w14:textId="29893A81"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2.上述活动中，所使用的会议主题背板、横幅、易拉宝(会议简介、日程、</w:t>
      </w:r>
      <w:r w:rsidRPr="00A048F0">
        <w:rPr>
          <w:rFonts w:ascii="仿宋" w:eastAsia="仿宋" w:hAnsi="仿宋" w:cs="宋体" w:hint="eastAsia"/>
          <w:bCs/>
          <w:color w:val="333333"/>
          <w:kern w:val="0"/>
          <w:sz w:val="30"/>
          <w:szCs w:val="30"/>
        </w:rPr>
        <w:t>引导牌等</w:t>
      </w:r>
      <w:r w:rsidRPr="00A048F0">
        <w:rPr>
          <w:rFonts w:ascii="仿宋" w:eastAsia="仿宋" w:hAnsi="仿宋" w:cs="宋体"/>
          <w:bCs/>
          <w:color w:val="333333"/>
          <w:kern w:val="0"/>
          <w:sz w:val="30"/>
          <w:szCs w:val="30"/>
        </w:rPr>
        <w:t>)和会议幻灯片及基金会就具体项目另行要求的其他资料等，均应在顶端</w:t>
      </w:r>
      <w:proofErr w:type="gramStart"/>
      <w:r w:rsidRPr="00A048F0">
        <w:rPr>
          <w:rFonts w:ascii="仿宋" w:eastAsia="仿宋" w:hAnsi="仿宋" w:cs="宋体"/>
          <w:bCs/>
          <w:color w:val="333333"/>
          <w:kern w:val="0"/>
          <w:sz w:val="30"/>
          <w:szCs w:val="30"/>
        </w:rPr>
        <w:t>眉页位置</w:t>
      </w:r>
      <w:proofErr w:type="gramEnd"/>
      <w:r w:rsidRPr="00A048F0">
        <w:rPr>
          <w:rFonts w:ascii="仿宋" w:eastAsia="仿宋" w:hAnsi="仿宋" w:cs="宋体"/>
          <w:bCs/>
          <w:color w:val="333333"/>
          <w:kern w:val="0"/>
          <w:sz w:val="30"/>
          <w:szCs w:val="30"/>
        </w:rPr>
        <w:t>印制基金会1ogo 图案及在下方适当位置印制主办单位：北京力生心血管健康基金会的字样。</w:t>
      </w:r>
    </w:p>
    <w:p w14:paraId="4D5CBE51" w14:textId="7498EB56"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3.凡属在基金会立项之项目，项目的启动会、城市会、中期报告会及终期报告会</w:t>
      </w:r>
      <w:r>
        <w:rPr>
          <w:rFonts w:ascii="仿宋" w:eastAsia="仿宋" w:hAnsi="仿宋" w:cs="宋体" w:hint="eastAsia"/>
          <w:bCs/>
          <w:color w:val="333333"/>
          <w:kern w:val="0"/>
          <w:sz w:val="30"/>
          <w:szCs w:val="30"/>
        </w:rPr>
        <w:t>等</w:t>
      </w:r>
      <w:r w:rsidRPr="00A048F0">
        <w:rPr>
          <w:rFonts w:ascii="仿宋" w:eastAsia="仿宋" w:hAnsi="仿宋" w:cs="宋体"/>
          <w:bCs/>
          <w:color w:val="333333"/>
          <w:kern w:val="0"/>
          <w:sz w:val="30"/>
          <w:szCs w:val="30"/>
        </w:rPr>
        <w:t>，均需有基金会领导或委托代表作为项目主办方的全权代表出席并行使合</w:t>
      </w:r>
      <w:proofErr w:type="gramStart"/>
      <w:r w:rsidRPr="00A048F0">
        <w:rPr>
          <w:rFonts w:ascii="仿宋" w:eastAsia="仿宋" w:hAnsi="仿宋" w:cs="宋体"/>
          <w:bCs/>
          <w:color w:val="333333"/>
          <w:kern w:val="0"/>
          <w:sz w:val="30"/>
          <w:szCs w:val="30"/>
        </w:rPr>
        <w:t>规</w:t>
      </w:r>
      <w:proofErr w:type="gramEnd"/>
      <w:r w:rsidRPr="00A048F0">
        <w:rPr>
          <w:rFonts w:ascii="仿宋" w:eastAsia="仿宋" w:hAnsi="仿宋" w:cs="宋体"/>
          <w:bCs/>
          <w:color w:val="333333"/>
          <w:kern w:val="0"/>
          <w:sz w:val="30"/>
          <w:szCs w:val="30"/>
        </w:rPr>
        <w:t>监察权。</w:t>
      </w:r>
    </w:p>
    <w:p w14:paraId="79FE159E" w14:textId="412ECA53"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4.凡属在基金会立项之项目，项目的启动会、城市会、中期报告会及终期报告会中，现场的会务人员和主持人等工作人员，必须是第三方会务或医务人员，不得为任何医疗、医药及相关企业的人员。</w:t>
      </w:r>
    </w:p>
    <w:p w14:paraId="239059B1" w14:textId="0E67CC3A"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5.各项公益慈善活动中的主持稿、主席发言稿，含包含以下要求和信息。</w:t>
      </w:r>
    </w:p>
    <w:p w14:paraId="73CDA88D" w14:textId="02974545"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lastRenderedPageBreak/>
        <w:t>a)主持人开场白中要有：此次活动是由“北京力生心血管健康基金会发起的公益项目”等字句。</w:t>
      </w:r>
    </w:p>
    <w:p w14:paraId="33C80D7A" w14:textId="0FBDF4A8"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b) 主持稿中要有：由***、***专家教授担任本次活动的大会主席； ***专家(教授)担任大会讲者、嘉宾…</w:t>
      </w:r>
    </w:p>
    <w:p w14:paraId="1CB9DCA9" w14:textId="64583845"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c) 大会主席致辞稿中，要有“感谢北京力生心血管健康基金会的邀请，担任本公益专场的主席”;在致辞结束前要有“本公益专场得到了*****企业的大力支持，在此仅代表北京力生心血管健康 基金会对*****企业对公益活动给予的支持表示衷心的感谢!”。</w:t>
      </w:r>
    </w:p>
    <w:p w14:paraId="69C7CF74" w14:textId="16F9106C"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6.凡属在基金会立项之项目，且由基金会委托给第三</w:t>
      </w:r>
      <w:proofErr w:type="gramStart"/>
      <w:r w:rsidRPr="00A048F0">
        <w:rPr>
          <w:rFonts w:ascii="仿宋" w:eastAsia="仿宋" w:hAnsi="仿宋" w:cs="宋体"/>
          <w:bCs/>
          <w:color w:val="333333"/>
          <w:kern w:val="0"/>
          <w:sz w:val="30"/>
          <w:szCs w:val="30"/>
        </w:rPr>
        <w:t>方服务供应商执行</w:t>
      </w:r>
      <w:proofErr w:type="gramEnd"/>
      <w:r w:rsidRPr="00A048F0">
        <w:rPr>
          <w:rFonts w:ascii="仿宋" w:eastAsia="仿宋" w:hAnsi="仿宋" w:cs="宋体"/>
          <w:bCs/>
          <w:color w:val="333333"/>
          <w:kern w:val="0"/>
          <w:sz w:val="30"/>
          <w:szCs w:val="30"/>
        </w:rPr>
        <w:t>的，第三</w:t>
      </w:r>
      <w:proofErr w:type="gramStart"/>
      <w:r w:rsidRPr="00A048F0">
        <w:rPr>
          <w:rFonts w:ascii="仿宋" w:eastAsia="仿宋" w:hAnsi="仿宋" w:cs="宋体"/>
          <w:bCs/>
          <w:color w:val="333333"/>
          <w:kern w:val="0"/>
          <w:sz w:val="30"/>
          <w:szCs w:val="30"/>
        </w:rPr>
        <w:t>方服务</w:t>
      </w:r>
      <w:proofErr w:type="gramEnd"/>
      <w:r w:rsidRPr="00A048F0">
        <w:rPr>
          <w:rFonts w:ascii="仿宋" w:eastAsia="仿宋" w:hAnsi="仿宋" w:cs="宋体"/>
          <w:bCs/>
          <w:color w:val="333333"/>
          <w:kern w:val="0"/>
          <w:sz w:val="30"/>
          <w:szCs w:val="30"/>
        </w:rPr>
        <w:t>供应商应在项目运行的中期及末期向基金会提供《项目中期 报告》、《项目终期报告》以及会议照片、签到表、物料、视频、课件、流水等会议资料；基金会将对提供的报告进行审核并约见第三</w:t>
      </w:r>
      <w:proofErr w:type="gramStart"/>
      <w:r w:rsidRPr="00A048F0">
        <w:rPr>
          <w:rFonts w:ascii="仿宋" w:eastAsia="仿宋" w:hAnsi="仿宋" w:cs="宋体"/>
          <w:bCs/>
          <w:color w:val="333333"/>
          <w:kern w:val="0"/>
          <w:sz w:val="30"/>
          <w:szCs w:val="30"/>
        </w:rPr>
        <w:t>方服务</w:t>
      </w:r>
      <w:proofErr w:type="gramEnd"/>
      <w:r w:rsidRPr="00A048F0">
        <w:rPr>
          <w:rFonts w:ascii="仿宋" w:eastAsia="仿宋" w:hAnsi="仿宋" w:cs="宋体"/>
          <w:bCs/>
          <w:color w:val="333333"/>
          <w:kern w:val="0"/>
          <w:sz w:val="30"/>
          <w:szCs w:val="30"/>
        </w:rPr>
        <w:t>供应商，第三</w:t>
      </w:r>
      <w:proofErr w:type="gramStart"/>
      <w:r w:rsidRPr="00A048F0">
        <w:rPr>
          <w:rFonts w:ascii="仿宋" w:eastAsia="仿宋" w:hAnsi="仿宋" w:cs="宋体"/>
          <w:bCs/>
          <w:color w:val="333333"/>
          <w:kern w:val="0"/>
          <w:sz w:val="30"/>
          <w:szCs w:val="30"/>
        </w:rPr>
        <w:t>方供应</w:t>
      </w:r>
      <w:proofErr w:type="gramEnd"/>
      <w:r w:rsidRPr="00A048F0">
        <w:rPr>
          <w:rFonts w:ascii="仿宋" w:eastAsia="仿宋" w:hAnsi="仿宋" w:cs="宋体"/>
          <w:bCs/>
          <w:color w:val="333333"/>
          <w:kern w:val="0"/>
          <w:sz w:val="30"/>
          <w:szCs w:val="30"/>
        </w:rPr>
        <w:t>商需进行口头报告。基金会将依据项目委托协议书对报告提出修改意见，第三</w:t>
      </w:r>
      <w:proofErr w:type="gramStart"/>
      <w:r w:rsidRPr="00A048F0">
        <w:rPr>
          <w:rFonts w:ascii="仿宋" w:eastAsia="仿宋" w:hAnsi="仿宋" w:cs="宋体"/>
          <w:bCs/>
          <w:color w:val="333333"/>
          <w:kern w:val="0"/>
          <w:sz w:val="30"/>
          <w:szCs w:val="30"/>
        </w:rPr>
        <w:t>方服务</w:t>
      </w:r>
      <w:proofErr w:type="gramEnd"/>
      <w:r w:rsidRPr="00A048F0">
        <w:rPr>
          <w:rFonts w:ascii="仿宋" w:eastAsia="仿宋" w:hAnsi="仿宋" w:cs="宋体"/>
          <w:bCs/>
          <w:color w:val="333333"/>
          <w:kern w:val="0"/>
          <w:sz w:val="30"/>
          <w:szCs w:val="30"/>
        </w:rPr>
        <w:t>供应商应根据基金会的意见修改报告并</w:t>
      </w:r>
      <w:r w:rsidRPr="00A048F0">
        <w:rPr>
          <w:rFonts w:ascii="仿宋" w:eastAsia="仿宋" w:hAnsi="仿宋" w:cs="宋体" w:hint="eastAsia"/>
          <w:bCs/>
          <w:color w:val="333333"/>
          <w:kern w:val="0"/>
          <w:sz w:val="30"/>
          <w:szCs w:val="30"/>
        </w:rPr>
        <w:t>重新提交到基金会，待基金会确认《项目中期报告》、《项目终期报告》</w:t>
      </w:r>
      <w:r w:rsidRPr="00A048F0">
        <w:rPr>
          <w:rFonts w:ascii="仿宋" w:eastAsia="仿宋" w:hAnsi="仿宋" w:cs="宋体"/>
          <w:bCs/>
          <w:color w:val="333333"/>
          <w:kern w:val="0"/>
          <w:sz w:val="30"/>
          <w:szCs w:val="30"/>
        </w:rPr>
        <w:t xml:space="preserve"> 无误后，方可根据合同规定支付相应的合同款项。</w:t>
      </w:r>
    </w:p>
    <w:p w14:paraId="316E8D8D" w14:textId="0C3B4402"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7.凡属“调研类”和“版权类'项目，项目的数据和版权等所有合法权益属基金会所有。第三</w:t>
      </w:r>
      <w:proofErr w:type="gramStart"/>
      <w:r w:rsidRPr="00A048F0">
        <w:rPr>
          <w:rFonts w:ascii="仿宋" w:eastAsia="仿宋" w:hAnsi="仿宋" w:cs="宋体"/>
          <w:bCs/>
          <w:color w:val="333333"/>
          <w:kern w:val="0"/>
          <w:sz w:val="30"/>
          <w:szCs w:val="30"/>
        </w:rPr>
        <w:t>方服务</w:t>
      </w:r>
      <w:proofErr w:type="gramEnd"/>
      <w:r w:rsidRPr="00A048F0">
        <w:rPr>
          <w:rFonts w:ascii="仿宋" w:eastAsia="仿宋" w:hAnsi="仿宋" w:cs="宋体"/>
          <w:bCs/>
          <w:color w:val="333333"/>
          <w:kern w:val="0"/>
          <w:sz w:val="30"/>
          <w:szCs w:val="30"/>
        </w:rPr>
        <w:t>供应商负责项目执行过程中的数据收集与保管，待完成项目报告书后需将数据上交基金会。第三</w:t>
      </w:r>
      <w:proofErr w:type="gramStart"/>
      <w:r w:rsidRPr="00A048F0">
        <w:rPr>
          <w:rFonts w:ascii="仿宋" w:eastAsia="仿宋" w:hAnsi="仿宋" w:cs="宋体"/>
          <w:bCs/>
          <w:color w:val="333333"/>
          <w:kern w:val="0"/>
          <w:sz w:val="30"/>
          <w:szCs w:val="30"/>
        </w:rPr>
        <w:t>方服务</w:t>
      </w:r>
      <w:proofErr w:type="gramEnd"/>
      <w:r w:rsidRPr="00A048F0">
        <w:rPr>
          <w:rFonts w:ascii="仿宋" w:eastAsia="仿宋" w:hAnsi="仿宋" w:cs="宋体"/>
          <w:bCs/>
          <w:color w:val="333333"/>
          <w:kern w:val="0"/>
          <w:sz w:val="30"/>
          <w:szCs w:val="30"/>
        </w:rPr>
        <w:t>供应商不得将项目相关信息(如项目所得数据库数据、项目制作各类培</w:t>
      </w:r>
      <w:r w:rsidRPr="00A048F0">
        <w:rPr>
          <w:rFonts w:ascii="仿宋" w:eastAsia="仿宋" w:hAnsi="仿宋" w:cs="宋体"/>
          <w:bCs/>
          <w:color w:val="333333"/>
          <w:kern w:val="0"/>
          <w:sz w:val="30"/>
          <w:szCs w:val="30"/>
        </w:rPr>
        <w:lastRenderedPageBreak/>
        <w:t>训与患者教育材料、各类媒体制作等)提供给除基金会外的任何一方。基金会为唯一对外提交和发布项目成果的责任方(</w:t>
      </w:r>
      <w:proofErr w:type="gramStart"/>
      <w:r w:rsidRPr="00A048F0">
        <w:rPr>
          <w:rFonts w:ascii="仿宋" w:eastAsia="仿宋" w:hAnsi="仿宋" w:cs="宋体"/>
          <w:bCs/>
          <w:color w:val="333333"/>
          <w:kern w:val="0"/>
          <w:sz w:val="30"/>
          <w:szCs w:val="30"/>
        </w:rPr>
        <w:t>除项目</w:t>
      </w:r>
      <w:proofErr w:type="gramEnd"/>
      <w:r w:rsidRPr="00A048F0">
        <w:rPr>
          <w:rFonts w:ascii="仿宋" w:eastAsia="仿宋" w:hAnsi="仿宋" w:cs="宋体"/>
          <w:bCs/>
          <w:color w:val="333333"/>
          <w:kern w:val="0"/>
          <w:sz w:val="30"/>
          <w:szCs w:val="30"/>
        </w:rPr>
        <w:t>协议中有另行约定)。</w:t>
      </w:r>
    </w:p>
    <w:p w14:paraId="79393016" w14:textId="56077933" w:rsidR="00A048F0" w:rsidRPr="00A048F0" w:rsidRDefault="00A048F0" w:rsidP="00AD07A3">
      <w:pPr>
        <w:adjustRightInd w:val="0"/>
        <w:snapToGrid w:val="0"/>
        <w:spacing w:beforeLines="50" w:before="156" w:afterLines="50" w:after="156" w:line="360" w:lineRule="auto"/>
        <w:ind w:leftChars="100" w:left="210"/>
        <w:rPr>
          <w:rFonts w:ascii="仿宋" w:eastAsia="仿宋" w:hAnsi="仿宋" w:cs="宋体"/>
          <w:bCs/>
          <w:color w:val="333333"/>
          <w:kern w:val="0"/>
          <w:sz w:val="30"/>
          <w:szCs w:val="30"/>
        </w:rPr>
      </w:pPr>
      <w:r w:rsidRPr="00A048F0">
        <w:rPr>
          <w:rFonts w:ascii="仿宋" w:eastAsia="仿宋" w:hAnsi="仿宋" w:cs="宋体"/>
          <w:bCs/>
          <w:color w:val="333333"/>
          <w:kern w:val="0"/>
          <w:sz w:val="30"/>
          <w:szCs w:val="30"/>
        </w:rPr>
        <w:t>8.任何项目参与方，如需要相关数据，需向基金会提交数据申请报告(内容包括：申请理由、数据使用计划和方案等)。待基金会专家委员会审批通过后，基金会将按审批意见向申请方提供相关数据。申请方在收到 相关数据后应严格按照申请报告所述目的使用相关数据，不得超越使用范围及转送第三方。</w:t>
      </w:r>
    </w:p>
    <w:p w14:paraId="28B02569" w14:textId="67617B81" w:rsidR="008139E6" w:rsidRPr="00AD07A3" w:rsidRDefault="00A048F0" w:rsidP="00AD07A3">
      <w:pPr>
        <w:adjustRightInd w:val="0"/>
        <w:snapToGrid w:val="0"/>
        <w:spacing w:beforeLines="50" w:before="156" w:afterLines="50" w:after="156" w:line="360" w:lineRule="auto"/>
        <w:ind w:leftChars="100" w:left="210"/>
        <w:rPr>
          <w:rFonts w:ascii="仿宋" w:eastAsia="仿宋" w:hAnsi="仿宋" w:cs="宋体"/>
          <w:bCs/>
          <w:color w:val="FF0000"/>
          <w:kern w:val="0"/>
          <w:sz w:val="30"/>
          <w:szCs w:val="30"/>
        </w:rPr>
      </w:pPr>
      <w:r w:rsidRPr="00A048F0">
        <w:rPr>
          <w:rFonts w:ascii="仿宋" w:eastAsia="仿宋" w:hAnsi="仿宋" w:cs="宋体"/>
          <w:bCs/>
          <w:color w:val="333333"/>
          <w:kern w:val="0"/>
          <w:sz w:val="30"/>
          <w:szCs w:val="30"/>
        </w:rPr>
        <w:t>9.遇到有外籍讲者演讲、授课、交流的学术活动，</w:t>
      </w:r>
      <w:r w:rsidR="00D53F9C" w:rsidRPr="00D53F9C">
        <w:rPr>
          <w:rFonts w:ascii="仿宋" w:eastAsia="仿宋" w:hAnsi="仿宋" w:cs="宋体" w:hint="eastAsia"/>
          <w:bCs/>
          <w:color w:val="333333"/>
          <w:kern w:val="0"/>
          <w:sz w:val="30"/>
          <w:szCs w:val="30"/>
        </w:rPr>
        <w:t>可聘请</w:t>
      </w:r>
      <w:r w:rsidRPr="00D53F9C">
        <w:rPr>
          <w:rFonts w:ascii="仿宋" w:eastAsia="仿宋" w:hAnsi="仿宋" w:cs="宋体"/>
          <w:bCs/>
          <w:color w:val="333333"/>
          <w:kern w:val="0"/>
          <w:sz w:val="30"/>
          <w:szCs w:val="30"/>
        </w:rPr>
        <w:t>专业译员</w:t>
      </w:r>
      <w:r w:rsidR="00D53F9C" w:rsidRPr="00D53F9C">
        <w:rPr>
          <w:rFonts w:ascii="仿宋" w:eastAsia="仿宋" w:hAnsi="仿宋" w:cs="宋体" w:hint="eastAsia"/>
          <w:bCs/>
          <w:color w:val="333333"/>
          <w:kern w:val="0"/>
          <w:sz w:val="30"/>
          <w:szCs w:val="30"/>
        </w:rPr>
        <w:t>或医务工作人员担任翻译工作</w:t>
      </w:r>
      <w:r w:rsidRPr="00D53F9C">
        <w:rPr>
          <w:rFonts w:ascii="仿宋" w:eastAsia="仿宋" w:hAnsi="仿宋" w:cs="宋体"/>
          <w:bCs/>
          <w:color w:val="333333"/>
          <w:kern w:val="0"/>
          <w:sz w:val="30"/>
          <w:szCs w:val="30"/>
        </w:rPr>
        <w:t>。</w:t>
      </w:r>
    </w:p>
    <w:p w14:paraId="6607D888" w14:textId="77777777" w:rsidR="008139E6" w:rsidRPr="00A048F0" w:rsidRDefault="008139E6" w:rsidP="00A048F0">
      <w:pPr>
        <w:adjustRightInd w:val="0"/>
        <w:snapToGrid w:val="0"/>
        <w:spacing w:line="360" w:lineRule="auto"/>
        <w:rPr>
          <w:rFonts w:ascii="仿宋" w:eastAsia="仿宋" w:hAnsi="仿宋" w:cs="宋体"/>
          <w:bCs/>
          <w:color w:val="333333"/>
          <w:kern w:val="0"/>
          <w:sz w:val="30"/>
          <w:szCs w:val="30"/>
        </w:rPr>
      </w:pPr>
    </w:p>
    <w:p w14:paraId="63D5D4D1" w14:textId="21DAF7C9" w:rsidR="00CB0196" w:rsidRDefault="00CB0196" w:rsidP="00CB0196">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本规定自颁布之日起实行。</w:t>
      </w:r>
    </w:p>
    <w:p w14:paraId="1D5242F3" w14:textId="77777777" w:rsidR="00CB0196" w:rsidRDefault="00CB0196" w:rsidP="00CB0196">
      <w:pPr>
        <w:widowControl/>
        <w:spacing w:line="360" w:lineRule="auto"/>
        <w:ind w:firstLineChars="175" w:firstLine="525"/>
        <w:jc w:val="left"/>
        <w:rPr>
          <w:rFonts w:ascii="仿宋" w:eastAsia="仿宋" w:hAnsi="仿宋" w:cs="宋体"/>
          <w:kern w:val="0"/>
          <w:sz w:val="30"/>
          <w:szCs w:val="30"/>
        </w:rPr>
      </w:pPr>
    </w:p>
    <w:p w14:paraId="77DF22C4" w14:textId="77777777" w:rsidR="00CB0196" w:rsidRDefault="00CB0196" w:rsidP="00CB0196">
      <w:pPr>
        <w:ind w:leftChars="67" w:left="141" w:firstLineChars="200" w:firstLine="600"/>
        <w:jc w:val="left"/>
        <w:rPr>
          <w:rFonts w:ascii="仿宋" w:eastAsia="仿宋" w:hAnsi="仿宋" w:cs="Times New Roman"/>
          <w:sz w:val="30"/>
          <w:szCs w:val="30"/>
        </w:rPr>
      </w:pPr>
    </w:p>
    <w:p w14:paraId="4645A5C6" w14:textId="0E8C421E" w:rsidR="00CB0196" w:rsidRDefault="00CB0196" w:rsidP="00CB0196">
      <w:pPr>
        <w:adjustRightInd w:val="0"/>
        <w:snapToGrid w:val="0"/>
        <w:spacing w:line="360" w:lineRule="auto"/>
        <w:jc w:val="left"/>
        <w:rPr>
          <w:rFonts w:ascii="仿宋" w:eastAsia="仿宋" w:hAnsi="仿宋" w:cs="Times New Roman"/>
          <w:sz w:val="30"/>
          <w:szCs w:val="30"/>
        </w:rPr>
      </w:pPr>
      <w:r>
        <w:rPr>
          <w:rFonts w:ascii="仿宋" w:eastAsia="仿宋" w:hAnsi="仿宋" w:cs="宋体" w:hint="eastAsia"/>
          <w:kern w:val="0"/>
          <w:sz w:val="30"/>
          <w:szCs w:val="30"/>
        </w:rPr>
        <w:t>本规定（修订）经2023年12月12日第三届第七次理事会审议表决通过。</w:t>
      </w:r>
    </w:p>
    <w:p w14:paraId="77EF36FD" w14:textId="77777777" w:rsidR="008139E6" w:rsidRPr="00CB0196" w:rsidRDefault="008139E6" w:rsidP="00A048F0">
      <w:pPr>
        <w:adjustRightInd w:val="0"/>
        <w:snapToGrid w:val="0"/>
        <w:spacing w:line="360" w:lineRule="auto"/>
        <w:rPr>
          <w:rFonts w:ascii="仿宋" w:eastAsia="仿宋" w:hAnsi="仿宋" w:cs="宋体"/>
          <w:bCs/>
          <w:color w:val="333333"/>
          <w:kern w:val="0"/>
          <w:sz w:val="30"/>
          <w:szCs w:val="30"/>
        </w:rPr>
      </w:pPr>
    </w:p>
    <w:p w14:paraId="65F800D0" w14:textId="0C6DFCEB" w:rsidR="00F47FF0" w:rsidRPr="003B415C" w:rsidRDefault="00F47FF0" w:rsidP="003B415C">
      <w:pPr>
        <w:adjustRightInd w:val="0"/>
        <w:snapToGrid w:val="0"/>
        <w:spacing w:line="360" w:lineRule="auto"/>
        <w:rPr>
          <w:rFonts w:ascii="仿宋" w:eastAsia="仿宋" w:hAnsi="仿宋" w:cs="Times New Roman"/>
          <w:sz w:val="30"/>
          <w:szCs w:val="30"/>
        </w:rPr>
      </w:pPr>
      <w:r w:rsidRPr="003B415C">
        <w:rPr>
          <w:rFonts w:ascii="仿宋" w:eastAsia="仿宋" w:hAnsi="仿宋" w:cs="宋体" w:hint="eastAsia"/>
          <w:kern w:val="0"/>
          <w:sz w:val="30"/>
          <w:szCs w:val="30"/>
          <w:highlight w:val="yellow"/>
        </w:rPr>
        <w:t>本</w:t>
      </w:r>
      <w:r w:rsidR="00986B85">
        <w:rPr>
          <w:rFonts w:ascii="仿宋" w:eastAsia="仿宋" w:hAnsi="仿宋" w:cs="宋体" w:hint="eastAsia"/>
          <w:kern w:val="0"/>
          <w:sz w:val="30"/>
          <w:szCs w:val="30"/>
          <w:highlight w:val="yellow"/>
        </w:rPr>
        <w:t>规定</w:t>
      </w:r>
      <w:r w:rsidRPr="003B415C">
        <w:rPr>
          <w:rFonts w:ascii="仿宋" w:eastAsia="仿宋" w:hAnsi="仿宋" w:cs="宋体" w:hint="eastAsia"/>
          <w:kern w:val="0"/>
          <w:sz w:val="30"/>
          <w:szCs w:val="30"/>
          <w:highlight w:val="yellow"/>
        </w:rPr>
        <w:t>经2</w:t>
      </w:r>
      <w:r w:rsidRPr="003B415C">
        <w:rPr>
          <w:rFonts w:ascii="仿宋" w:eastAsia="仿宋" w:hAnsi="仿宋" w:cs="宋体"/>
          <w:kern w:val="0"/>
          <w:sz w:val="30"/>
          <w:szCs w:val="30"/>
          <w:highlight w:val="yellow"/>
        </w:rPr>
        <w:t>023</w:t>
      </w:r>
      <w:r w:rsidRPr="003B415C">
        <w:rPr>
          <w:rFonts w:ascii="仿宋" w:eastAsia="仿宋" w:hAnsi="仿宋" w:cs="宋体" w:hint="eastAsia"/>
          <w:kern w:val="0"/>
          <w:sz w:val="30"/>
          <w:szCs w:val="30"/>
          <w:highlight w:val="yellow"/>
        </w:rPr>
        <w:t>年1</w:t>
      </w:r>
      <w:r w:rsidRPr="003B415C">
        <w:rPr>
          <w:rFonts w:ascii="仿宋" w:eastAsia="仿宋" w:hAnsi="仿宋" w:cs="宋体"/>
          <w:kern w:val="0"/>
          <w:sz w:val="30"/>
          <w:szCs w:val="30"/>
          <w:highlight w:val="yellow"/>
        </w:rPr>
        <w:t>2</w:t>
      </w:r>
      <w:r w:rsidRPr="003B415C">
        <w:rPr>
          <w:rFonts w:ascii="仿宋" w:eastAsia="仿宋" w:hAnsi="仿宋" w:cs="宋体" w:hint="eastAsia"/>
          <w:kern w:val="0"/>
          <w:sz w:val="30"/>
          <w:szCs w:val="30"/>
          <w:highlight w:val="yellow"/>
        </w:rPr>
        <w:t>月1</w:t>
      </w:r>
      <w:r w:rsidRPr="003B415C">
        <w:rPr>
          <w:rFonts w:ascii="仿宋" w:eastAsia="仿宋" w:hAnsi="仿宋" w:cs="宋体"/>
          <w:kern w:val="0"/>
          <w:sz w:val="30"/>
          <w:szCs w:val="30"/>
          <w:highlight w:val="yellow"/>
        </w:rPr>
        <w:t>2</w:t>
      </w:r>
      <w:r w:rsidRPr="003B415C">
        <w:rPr>
          <w:rFonts w:ascii="仿宋" w:eastAsia="仿宋" w:hAnsi="仿宋" w:cs="宋体" w:hint="eastAsia"/>
          <w:kern w:val="0"/>
          <w:sz w:val="30"/>
          <w:szCs w:val="30"/>
          <w:highlight w:val="yellow"/>
        </w:rPr>
        <w:t>日第三届第七次理事会审议表决通过。</w:t>
      </w:r>
    </w:p>
    <w:sectPr w:rsidR="00F47FF0" w:rsidRPr="003B415C"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3F45" w14:textId="77777777" w:rsidR="00222FFA" w:rsidRDefault="00222FFA" w:rsidP="009532A4">
      <w:r>
        <w:separator/>
      </w:r>
    </w:p>
  </w:endnote>
  <w:endnote w:type="continuationSeparator" w:id="0">
    <w:p w14:paraId="19EE737A" w14:textId="77777777" w:rsidR="00222FFA" w:rsidRDefault="00222FFA"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1B32" w14:textId="77777777" w:rsidR="00222FFA" w:rsidRDefault="00222FFA" w:rsidP="009532A4">
      <w:r>
        <w:separator/>
      </w:r>
    </w:p>
  </w:footnote>
  <w:footnote w:type="continuationSeparator" w:id="0">
    <w:p w14:paraId="5FAD6657" w14:textId="77777777" w:rsidR="00222FFA" w:rsidRDefault="00222FFA"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A6E6C"/>
    <w:rsid w:val="001B62A4"/>
    <w:rsid w:val="00222FFA"/>
    <w:rsid w:val="002D7A61"/>
    <w:rsid w:val="00303FC2"/>
    <w:rsid w:val="003B415C"/>
    <w:rsid w:val="00480B3E"/>
    <w:rsid w:val="004D7440"/>
    <w:rsid w:val="0052022B"/>
    <w:rsid w:val="00537DD4"/>
    <w:rsid w:val="00613855"/>
    <w:rsid w:val="006E700B"/>
    <w:rsid w:val="00751441"/>
    <w:rsid w:val="00762B2A"/>
    <w:rsid w:val="008139E6"/>
    <w:rsid w:val="00854A16"/>
    <w:rsid w:val="00865BF1"/>
    <w:rsid w:val="00880F6F"/>
    <w:rsid w:val="0093159E"/>
    <w:rsid w:val="009532A4"/>
    <w:rsid w:val="00986B85"/>
    <w:rsid w:val="00A048F0"/>
    <w:rsid w:val="00A561D9"/>
    <w:rsid w:val="00A87684"/>
    <w:rsid w:val="00AA4865"/>
    <w:rsid w:val="00AD07A3"/>
    <w:rsid w:val="00AF52CD"/>
    <w:rsid w:val="00B10F00"/>
    <w:rsid w:val="00B75F6B"/>
    <w:rsid w:val="00BA40DD"/>
    <w:rsid w:val="00CB0196"/>
    <w:rsid w:val="00D33A96"/>
    <w:rsid w:val="00D53F9C"/>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6</cp:revision>
  <cp:lastPrinted>2021-03-08T02:11:00Z</cp:lastPrinted>
  <dcterms:created xsi:type="dcterms:W3CDTF">2023-11-01T01:00:00Z</dcterms:created>
  <dcterms:modified xsi:type="dcterms:W3CDTF">2023-11-16T03:40:00Z</dcterms:modified>
</cp:coreProperties>
</file>