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5C84F" w14:textId="77777777" w:rsidR="00A15CE6" w:rsidRPr="00A15CE6" w:rsidRDefault="00A15CE6" w:rsidP="00A15CE6">
      <w:pPr>
        <w:pStyle w:val="a7"/>
        <w:shd w:val="clear" w:color="auto" w:fill="FFFFFF"/>
        <w:spacing w:before="0" w:beforeAutospacing="0" w:after="0" w:afterAutospacing="0" w:line="420" w:lineRule="atLeast"/>
        <w:ind w:firstLine="480"/>
        <w:jc w:val="center"/>
        <w:rPr>
          <w:rFonts w:ascii="宋体" w:eastAsia="宋体" w:hAnsi="宋体"/>
          <w:b/>
          <w:sz w:val="36"/>
          <w:szCs w:val="36"/>
        </w:rPr>
      </w:pPr>
      <w:r w:rsidRPr="00A15CE6">
        <w:rPr>
          <w:rFonts w:ascii="宋体" w:eastAsia="宋体" w:hAnsi="宋体" w:hint="eastAsia"/>
          <w:b/>
          <w:sz w:val="36"/>
          <w:szCs w:val="36"/>
        </w:rPr>
        <w:t>重大事项报告制度</w:t>
      </w:r>
    </w:p>
    <w:p w14:paraId="4FB2414F" w14:textId="77777777" w:rsidR="00A15CE6" w:rsidRPr="006B544B" w:rsidRDefault="00A15CE6" w:rsidP="00A15CE6">
      <w:pPr>
        <w:pStyle w:val="a7"/>
        <w:shd w:val="clear" w:color="auto" w:fill="FFFFFF"/>
        <w:spacing w:before="0" w:beforeAutospacing="0" w:after="0" w:afterAutospacing="0" w:line="420" w:lineRule="atLeast"/>
        <w:ind w:firstLine="480"/>
        <w:jc w:val="center"/>
        <w:rPr>
          <w:rFonts w:ascii="微软雅黑" w:eastAsia="微软雅黑" w:hAnsi="微软雅黑"/>
          <w:bCs/>
          <w:sz w:val="32"/>
          <w:szCs w:val="32"/>
        </w:rPr>
      </w:pPr>
    </w:p>
    <w:p w14:paraId="04805FE6" w14:textId="77777777" w:rsidR="00A15CE6" w:rsidRPr="00A15CE6" w:rsidRDefault="00A15CE6" w:rsidP="00A15CE6">
      <w:pPr>
        <w:widowControl/>
        <w:shd w:val="clear" w:color="auto" w:fill="FFFFFF"/>
        <w:spacing w:line="260" w:lineRule="atLeast"/>
        <w:rPr>
          <w:rFonts w:ascii="仿宋" w:eastAsia="仿宋" w:hAnsi="仿宋" w:cs="宋体"/>
          <w:kern w:val="0"/>
          <w:sz w:val="30"/>
          <w:szCs w:val="30"/>
        </w:rPr>
      </w:pPr>
      <w:r w:rsidRPr="00A15CE6">
        <w:rPr>
          <w:rFonts w:ascii="仿宋" w:eastAsia="仿宋" w:hAnsi="仿宋" w:cs="宋体" w:hint="eastAsia"/>
          <w:kern w:val="0"/>
          <w:sz w:val="30"/>
          <w:szCs w:val="30"/>
        </w:rPr>
        <w:t>一、为加强基金会重大事项管理，根据《基金会管理条例》和《</w:t>
      </w:r>
      <w:r w:rsidRPr="00A15CE6">
        <w:rPr>
          <w:rFonts w:ascii="仿宋" w:eastAsia="仿宋" w:hAnsi="仿宋" w:cs="宋体" w:hint="eastAsia"/>
          <w:bCs/>
          <w:kern w:val="0"/>
          <w:sz w:val="30"/>
          <w:szCs w:val="30"/>
        </w:rPr>
        <w:t>北京市社会组织重大事项报告的若干规定</w:t>
      </w:r>
      <w:r w:rsidRPr="00A15CE6">
        <w:rPr>
          <w:rFonts w:ascii="仿宋" w:eastAsia="仿宋" w:hAnsi="仿宋" w:cs="宋体" w:hint="eastAsia"/>
          <w:kern w:val="0"/>
          <w:sz w:val="30"/>
          <w:szCs w:val="30"/>
        </w:rPr>
        <w:t xml:space="preserve">》等相关法律、法规，制定本规定。  </w:t>
      </w:r>
    </w:p>
    <w:p w14:paraId="4BEBB91F" w14:textId="7BE30866" w:rsidR="00A15CE6" w:rsidRPr="00A15CE6" w:rsidRDefault="00A15CE6" w:rsidP="00A15CE6">
      <w:pPr>
        <w:widowControl/>
        <w:shd w:val="clear" w:color="auto" w:fill="FFFFFF"/>
        <w:spacing w:line="320" w:lineRule="atLeast"/>
        <w:jc w:val="left"/>
        <w:rPr>
          <w:rFonts w:ascii="仿宋" w:eastAsia="仿宋" w:hAnsi="仿宋" w:cs="宋体"/>
          <w:kern w:val="0"/>
          <w:sz w:val="30"/>
          <w:szCs w:val="30"/>
        </w:rPr>
      </w:pPr>
      <w:r w:rsidRPr="00A15CE6">
        <w:rPr>
          <w:rFonts w:ascii="仿宋" w:eastAsia="仿宋" w:hAnsi="仿宋" w:hint="eastAsia"/>
          <w:sz w:val="30"/>
          <w:szCs w:val="30"/>
        </w:rPr>
        <w:t>二、本基金会</w:t>
      </w:r>
      <w:r w:rsidRPr="00A15CE6">
        <w:rPr>
          <w:rFonts w:ascii="仿宋" w:eastAsia="仿宋" w:hAnsi="仿宋" w:cs="宋体" w:hint="eastAsia"/>
          <w:kern w:val="0"/>
          <w:sz w:val="30"/>
          <w:szCs w:val="30"/>
        </w:rPr>
        <w:t xml:space="preserve">重大事项是指对社会可能产生重大影响，关系基金会利益、建设与发展的重大事件、重要活动。 </w:t>
      </w:r>
    </w:p>
    <w:p w14:paraId="2D29A770" w14:textId="77777777" w:rsidR="00A15CE6" w:rsidRPr="00A15CE6" w:rsidRDefault="00A15CE6" w:rsidP="00A15CE6">
      <w:pPr>
        <w:pStyle w:val="a7"/>
        <w:shd w:val="clear" w:color="auto" w:fill="FFFFFF"/>
        <w:spacing w:before="0" w:beforeAutospacing="0" w:after="0" w:afterAutospacing="0" w:line="420" w:lineRule="atLeast"/>
        <w:rPr>
          <w:rFonts w:ascii="仿宋" w:eastAsia="仿宋" w:hAnsi="仿宋"/>
          <w:sz w:val="30"/>
          <w:szCs w:val="30"/>
        </w:rPr>
      </w:pPr>
      <w:r w:rsidRPr="00A15CE6">
        <w:rPr>
          <w:rFonts w:ascii="仿宋" w:eastAsia="仿宋" w:hAnsi="仿宋" w:hint="eastAsia"/>
          <w:sz w:val="30"/>
          <w:szCs w:val="30"/>
        </w:rPr>
        <w:t>三、基金会发生重大事项应当按本制度的要求及时报告。</w:t>
      </w:r>
    </w:p>
    <w:p w14:paraId="320950F9" w14:textId="77777777" w:rsidR="00A15CE6" w:rsidRPr="00A15CE6" w:rsidRDefault="00A15CE6" w:rsidP="00A15CE6">
      <w:pPr>
        <w:pStyle w:val="a7"/>
        <w:shd w:val="clear" w:color="auto" w:fill="FFFFFF"/>
        <w:spacing w:before="0" w:beforeAutospacing="0" w:after="0" w:afterAutospacing="0" w:line="420" w:lineRule="atLeast"/>
        <w:rPr>
          <w:rFonts w:ascii="仿宋" w:eastAsia="仿宋" w:hAnsi="仿宋"/>
          <w:sz w:val="30"/>
          <w:szCs w:val="30"/>
        </w:rPr>
      </w:pPr>
      <w:r w:rsidRPr="00A15CE6">
        <w:rPr>
          <w:rFonts w:ascii="仿宋" w:eastAsia="仿宋" w:hAnsi="仿宋" w:hint="eastAsia"/>
          <w:sz w:val="30"/>
          <w:szCs w:val="30"/>
        </w:rPr>
        <w:t>四、基金会应当报告登记管理部门的事项：</w:t>
      </w:r>
    </w:p>
    <w:p w14:paraId="2A743FC4"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 xml:space="preserve">（一）章程的修订； </w:t>
      </w:r>
    </w:p>
    <w:p w14:paraId="48BF1DD7"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（二）理事、监事、秘书长的变动；</w:t>
      </w:r>
    </w:p>
    <w:p w14:paraId="66E8A090"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（三）重大涉外活动；</w:t>
      </w:r>
    </w:p>
    <w:p w14:paraId="05649DE4"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（四）每年工作总结及下年度工作计划；</w:t>
      </w:r>
    </w:p>
    <w:p w14:paraId="0009E4B0"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（五）北京市民政局规定的其他重大事项。</w:t>
      </w:r>
    </w:p>
    <w:p w14:paraId="1696D189" w14:textId="77777777" w:rsidR="00A15CE6" w:rsidRPr="00A15CE6" w:rsidRDefault="00A15CE6" w:rsidP="00A15CE6">
      <w:pPr>
        <w:pStyle w:val="a7"/>
        <w:shd w:val="clear" w:color="auto" w:fill="FFFFFF"/>
        <w:spacing w:before="0" w:beforeAutospacing="0" w:after="0" w:afterAutospacing="0" w:line="420" w:lineRule="atLeast"/>
        <w:rPr>
          <w:rFonts w:ascii="仿宋" w:eastAsia="仿宋" w:hAnsi="仿宋"/>
          <w:sz w:val="30"/>
          <w:szCs w:val="30"/>
        </w:rPr>
      </w:pPr>
      <w:r w:rsidRPr="00A15CE6">
        <w:rPr>
          <w:rFonts w:ascii="仿宋" w:eastAsia="仿宋" w:hAnsi="仿宋" w:hint="eastAsia"/>
          <w:sz w:val="30"/>
          <w:szCs w:val="30"/>
        </w:rPr>
        <w:t>五、 秘书处应当向理事会报告的重大事项</w:t>
      </w:r>
    </w:p>
    <w:p w14:paraId="32F144F2"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（一）章程的制定和修改；</w:t>
      </w:r>
    </w:p>
    <w:p w14:paraId="6CEEC6AE"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（二）重大业务活动计划，包括资金的募集、管理和使用计划；</w:t>
      </w:r>
    </w:p>
    <w:p w14:paraId="1F48F5E0" w14:textId="647B51DA"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（三）审定大额项目：包括: 办理单笔金额超过1千万元的银行定期存款（大额存单）、保本理财产品等其它投资活动；以及一次性接受</w:t>
      </w:r>
      <w:r w:rsidR="00171CE8">
        <w:rPr>
          <w:rFonts w:ascii="仿宋" w:eastAsia="仿宋" w:hAnsi="仿宋" w:hint="eastAsia"/>
          <w:sz w:val="28"/>
          <w:szCs w:val="28"/>
        </w:rPr>
        <w:t>5</w:t>
      </w:r>
      <w:r w:rsidRPr="00A15CE6">
        <w:rPr>
          <w:rFonts w:ascii="仿宋" w:eastAsia="仿宋" w:hAnsi="仿宋" w:hint="eastAsia"/>
          <w:sz w:val="28"/>
          <w:szCs w:val="28"/>
        </w:rPr>
        <w:t>00万元以上捐赠项目。</w:t>
      </w:r>
    </w:p>
    <w:p w14:paraId="4D0D652C"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（四）年度财务收支预算及决算；</w:t>
      </w:r>
    </w:p>
    <w:p w14:paraId="15EF17D0"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lastRenderedPageBreak/>
        <w:t>（五）内部管理制度的制定；</w:t>
      </w:r>
    </w:p>
    <w:p w14:paraId="10713D57" w14:textId="77777777" w:rsidR="00A15CE6" w:rsidRPr="00A15CE6" w:rsidRDefault="00A15CE6" w:rsidP="00A15CE6">
      <w:pPr>
        <w:pStyle w:val="a7"/>
        <w:shd w:val="clear" w:color="auto" w:fill="FFFFFF"/>
        <w:spacing w:before="0" w:beforeAutospacing="0" w:after="0" w:afterAutospacing="0" w:line="420" w:lineRule="atLeast"/>
        <w:ind w:firstLine="480"/>
        <w:rPr>
          <w:rFonts w:ascii="仿宋" w:eastAsia="仿宋" w:hAnsi="仿宋"/>
          <w:sz w:val="28"/>
          <w:szCs w:val="28"/>
        </w:rPr>
      </w:pPr>
      <w:r w:rsidRPr="00A15CE6">
        <w:rPr>
          <w:rFonts w:ascii="仿宋" w:eastAsia="仿宋" w:hAnsi="仿宋" w:hint="eastAsia"/>
          <w:sz w:val="28"/>
          <w:szCs w:val="28"/>
        </w:rPr>
        <w:t>（六）副秘书长的聘任；</w:t>
      </w:r>
    </w:p>
    <w:p w14:paraId="634ADD9D" w14:textId="77777777" w:rsidR="00A15CE6" w:rsidRPr="00A15CE6" w:rsidRDefault="00A15CE6" w:rsidP="00A15CE6">
      <w:pPr>
        <w:pStyle w:val="a7"/>
        <w:shd w:val="clear" w:color="auto" w:fill="FFFFFF"/>
        <w:spacing w:before="0" w:beforeAutospacing="0" w:after="0" w:afterAutospacing="0" w:line="420" w:lineRule="atLeast"/>
        <w:rPr>
          <w:rFonts w:ascii="仿宋" w:eastAsia="仿宋" w:hAnsi="仿宋"/>
          <w:sz w:val="30"/>
          <w:szCs w:val="30"/>
        </w:rPr>
      </w:pPr>
      <w:r w:rsidRPr="00A15CE6">
        <w:rPr>
          <w:rFonts w:ascii="仿宋" w:eastAsia="仿宋" w:hAnsi="仿宋" w:hint="eastAsia"/>
          <w:sz w:val="30"/>
          <w:szCs w:val="30"/>
        </w:rPr>
        <w:t>六、秘书处在工作中遇到的重要问题，由秘书长及时报告理事长。</w:t>
      </w:r>
    </w:p>
    <w:p w14:paraId="4A24B3EA" w14:textId="77777777" w:rsidR="00A15CE6" w:rsidRPr="00A15CE6" w:rsidRDefault="00A15CE6" w:rsidP="00A15CE6">
      <w:pPr>
        <w:pStyle w:val="a7"/>
        <w:shd w:val="clear" w:color="auto" w:fill="FFFFFF"/>
        <w:spacing w:before="0" w:beforeAutospacing="0" w:after="0" w:afterAutospacing="0" w:line="420" w:lineRule="atLeast"/>
        <w:rPr>
          <w:rFonts w:ascii="仿宋" w:eastAsia="仿宋" w:hAnsi="仿宋"/>
          <w:sz w:val="30"/>
          <w:szCs w:val="30"/>
        </w:rPr>
      </w:pPr>
      <w:r w:rsidRPr="00A15CE6">
        <w:rPr>
          <w:rFonts w:ascii="仿宋" w:eastAsia="仿宋" w:hAnsi="仿宋" w:hint="eastAsia"/>
          <w:sz w:val="30"/>
          <w:szCs w:val="30"/>
        </w:rPr>
        <w:t>七、 秘书处工作人员在工作中遇到的重要情况和重大问题应及时向秘书长报告。</w:t>
      </w:r>
    </w:p>
    <w:p w14:paraId="7D16F6B7" w14:textId="044C8F5D" w:rsidR="00A15CE6" w:rsidRPr="00A15CE6" w:rsidRDefault="00A15CE6" w:rsidP="00A15CE6">
      <w:pPr>
        <w:rPr>
          <w:rFonts w:ascii="仿宋" w:eastAsia="仿宋" w:hAnsi="仿宋"/>
          <w:sz w:val="30"/>
          <w:szCs w:val="30"/>
        </w:rPr>
      </w:pPr>
      <w:r w:rsidRPr="00A15CE6">
        <w:rPr>
          <w:rFonts w:ascii="仿宋" w:eastAsia="仿宋" w:hAnsi="仿宋" w:hint="eastAsia"/>
          <w:sz w:val="30"/>
          <w:szCs w:val="30"/>
        </w:rPr>
        <w:t>八、 本制度由基金会秘书处负责解释。</w:t>
      </w:r>
    </w:p>
    <w:p w14:paraId="2B2D8839" w14:textId="44B5574D" w:rsidR="00A15CE6" w:rsidRDefault="00A15CE6" w:rsidP="00A15CE6">
      <w:pPr>
        <w:rPr>
          <w:sz w:val="28"/>
          <w:szCs w:val="30"/>
        </w:rPr>
      </w:pPr>
      <w:r w:rsidRPr="00A15CE6">
        <w:rPr>
          <w:rFonts w:ascii="仿宋" w:eastAsia="仿宋" w:hAnsi="仿宋" w:hint="eastAsia"/>
          <w:sz w:val="30"/>
          <w:szCs w:val="30"/>
        </w:rPr>
        <w:t xml:space="preserve">  </w:t>
      </w:r>
    </w:p>
    <w:p w14:paraId="2C2FF743" w14:textId="77777777" w:rsidR="00A44519" w:rsidRDefault="00A44519" w:rsidP="00A44519">
      <w:pPr>
        <w:widowControl/>
        <w:spacing w:line="360" w:lineRule="auto"/>
        <w:jc w:val="left"/>
        <w:rPr>
          <w:rFonts w:ascii="仿宋" w:eastAsia="仿宋" w:hAnsi="仿宋" w:cs="Times New Roman"/>
          <w:color w:val="000000"/>
          <w:kern w:val="0"/>
          <w:sz w:val="30"/>
          <w:szCs w:val="30"/>
        </w:rPr>
      </w:pPr>
      <w:r>
        <w:rPr>
          <w:rFonts w:ascii="仿宋" w:eastAsia="仿宋" w:hAnsi="仿宋" w:cs="Times New Roman" w:hint="eastAsia"/>
          <w:color w:val="000000"/>
          <w:kern w:val="0"/>
          <w:sz w:val="30"/>
          <w:szCs w:val="30"/>
        </w:rPr>
        <w:t>本制度自颁布之日起实行。</w:t>
      </w:r>
    </w:p>
    <w:p w14:paraId="472D9B5B" w14:textId="77777777" w:rsidR="00A44519" w:rsidRDefault="00A44519" w:rsidP="00A44519">
      <w:pPr>
        <w:widowControl/>
        <w:spacing w:line="360" w:lineRule="auto"/>
        <w:ind w:firstLineChars="175" w:firstLine="525"/>
        <w:jc w:val="left"/>
        <w:rPr>
          <w:rFonts w:ascii="仿宋" w:eastAsia="仿宋" w:hAnsi="仿宋" w:cs="宋体"/>
          <w:kern w:val="0"/>
          <w:sz w:val="30"/>
          <w:szCs w:val="30"/>
        </w:rPr>
      </w:pPr>
    </w:p>
    <w:p w14:paraId="3BADDFFB" w14:textId="77777777" w:rsidR="00A44519" w:rsidRDefault="00A44519" w:rsidP="00A44519">
      <w:pPr>
        <w:ind w:leftChars="67" w:left="141" w:firstLineChars="200" w:firstLine="600"/>
        <w:jc w:val="left"/>
        <w:rPr>
          <w:rFonts w:ascii="仿宋" w:eastAsia="仿宋" w:hAnsi="仿宋" w:cs="Times New Roman"/>
          <w:sz w:val="30"/>
          <w:szCs w:val="30"/>
        </w:rPr>
      </w:pPr>
    </w:p>
    <w:p w14:paraId="18766592" w14:textId="77777777" w:rsidR="00A44519" w:rsidRDefault="00A44519" w:rsidP="00A44519">
      <w:pPr>
        <w:adjustRightInd w:val="0"/>
        <w:snapToGrid w:val="0"/>
        <w:spacing w:line="360" w:lineRule="auto"/>
        <w:jc w:val="left"/>
        <w:rPr>
          <w:rFonts w:ascii="仿宋" w:eastAsia="仿宋" w:hAnsi="仿宋" w:cs="Times New Roman"/>
          <w:sz w:val="30"/>
          <w:szCs w:val="30"/>
        </w:rPr>
      </w:pPr>
      <w:r>
        <w:rPr>
          <w:rFonts w:ascii="仿宋" w:eastAsia="仿宋" w:hAnsi="仿宋" w:cs="宋体" w:hint="eastAsia"/>
          <w:kern w:val="0"/>
          <w:sz w:val="30"/>
          <w:szCs w:val="30"/>
        </w:rPr>
        <w:t>本制度（修订）经2023年12月12日第三届第七次理事会审议表决通过。</w:t>
      </w:r>
    </w:p>
    <w:sectPr w:rsidR="00A44519" w:rsidSect="00E66EFA">
      <w:headerReference w:type="even" r:id="rId8"/>
      <w:headerReference w:type="default" r:id="rId9"/>
      <w:footerReference w:type="default" r:id="rId10"/>
      <w:headerReference w:type="first" r:id="rId11"/>
      <w:pgSz w:w="11906" w:h="16838"/>
      <w:pgMar w:top="1021" w:right="1361" w:bottom="284" w:left="136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419CA" w14:textId="77777777" w:rsidR="0025778A" w:rsidRDefault="0025778A" w:rsidP="009532A4">
      <w:r>
        <w:separator/>
      </w:r>
    </w:p>
  </w:endnote>
  <w:endnote w:type="continuationSeparator" w:id="0">
    <w:p w14:paraId="2B439853" w14:textId="77777777" w:rsidR="0025778A" w:rsidRDefault="0025778A" w:rsidP="0095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D0AEC" w14:textId="27F0692B" w:rsidR="009532A4" w:rsidRPr="00F44F98" w:rsidRDefault="004D7440" w:rsidP="004D7440">
    <w:pPr>
      <w:pStyle w:val="a5"/>
      <w:rPr>
        <w:rFonts w:ascii="宋体" w:eastAsia="宋体" w:hAnsi="宋体"/>
        <w:color w:val="FF0000"/>
      </w:rPr>
    </w:pPr>
    <w:r w:rsidRPr="00F44F98">
      <w:rPr>
        <w:rFonts w:ascii="宋体" w:eastAsia="宋体" w:hAnsi="宋体" w:hint="eastAsia"/>
        <w:color w:val="FF0000"/>
      </w:rPr>
      <w:t>北京市海淀区复兴路甲</w:t>
    </w:r>
    <w:r w:rsidRPr="00F44F98">
      <w:rPr>
        <w:rFonts w:ascii="宋体" w:eastAsia="宋体" w:hAnsi="宋体"/>
        <w:color w:val="FF0000"/>
      </w:rPr>
      <w:t>36号百朗园A2段616室</w:t>
    </w:r>
    <w:r w:rsidRPr="00F44F98">
      <w:rPr>
        <w:rFonts w:ascii="宋体" w:eastAsia="宋体" w:hAnsi="宋体" w:hint="eastAsia"/>
        <w:color w:val="FF0000"/>
      </w:rPr>
      <w:t xml:space="preserve"> </w:t>
    </w:r>
    <w:r w:rsidRPr="00F44F98">
      <w:rPr>
        <w:rFonts w:ascii="宋体" w:eastAsia="宋体" w:hAnsi="宋体"/>
        <w:color w:val="FF0000"/>
      </w:rPr>
      <w:t xml:space="preserve"> </w:t>
    </w:r>
    <w:r w:rsidRPr="00F44F98">
      <w:rPr>
        <w:rFonts w:ascii="宋体" w:eastAsia="宋体" w:hAnsi="宋体" w:hint="eastAsia"/>
        <w:color w:val="FF0000"/>
      </w:rPr>
      <w:t>电话：</w:t>
    </w:r>
    <w:r w:rsidRPr="00F44F98">
      <w:rPr>
        <w:rFonts w:ascii="宋体" w:eastAsia="宋体" w:hAnsi="宋体"/>
        <w:color w:val="FF0000"/>
      </w:rPr>
      <w:t>010-88204450  Email：bjlshfpm@vip.sina.com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6E17" w14:textId="77777777" w:rsidR="0025778A" w:rsidRDefault="0025778A" w:rsidP="009532A4">
      <w:r>
        <w:separator/>
      </w:r>
    </w:p>
  </w:footnote>
  <w:footnote w:type="continuationSeparator" w:id="0">
    <w:p w14:paraId="23151C34" w14:textId="77777777" w:rsidR="0025778A" w:rsidRDefault="0025778A" w:rsidP="00953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156C" w14:textId="134D6B8A" w:rsidR="009532A4" w:rsidRDefault="00000000">
    <w:pPr>
      <w:pStyle w:val="a3"/>
    </w:pPr>
    <w:r>
      <w:rPr>
        <w:noProof/>
      </w:rPr>
      <w:pict w14:anchorId="1C23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5" o:spid="_x0000_s1029" type="#_x0000_t75" style="position:absolute;left:0;text-align:left;margin-left:0;margin-top:0;width:159.35pt;height:119.25pt;z-index:-251657216;mso-position-horizontal:center;mso-position-horizontal-relative:margin;mso-position-vertical:center;mso-position-vertical-relative:margin" o:allowincell="f">
          <v:imagedata r:id="rId1" o:title="力生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DBE71" w14:textId="5025E67B" w:rsidR="00D33A96" w:rsidRPr="00A87684" w:rsidRDefault="00D33A96" w:rsidP="00E66EFA">
    <w:pPr>
      <w:pStyle w:val="1"/>
      <w:jc w:val="distribute"/>
      <w:rPr>
        <w:rFonts w:ascii="宋体" w:eastAsia="宋体" w:hAnsi="宋体"/>
        <w:b/>
        <w:bCs/>
        <w:color w:val="FF0000"/>
        <w:sz w:val="88"/>
        <w:szCs w:val="88"/>
      </w:rPr>
    </w:pPr>
    <w:r w:rsidRPr="00E66EFA">
      <w:rPr>
        <w:rFonts w:ascii="宋体" w:eastAsia="宋体" w:hAnsi="宋体" w:hint="eastAsia"/>
        <w:b/>
        <w:bCs/>
        <w:color w:val="FF0000"/>
        <w:spacing w:val="6"/>
        <w:w w:val="77"/>
        <w:sz w:val="88"/>
        <w:szCs w:val="88"/>
        <w:fitText w:val="8194" w:id="-1824355840"/>
      </w:rPr>
      <w:t>北</w:t>
    </w:r>
    <w:r w:rsidRPr="00E66EFA">
      <w:rPr>
        <w:rFonts w:ascii="宋体" w:eastAsia="宋体" w:hAnsi="宋体"/>
        <w:b/>
        <w:bCs/>
        <w:color w:val="FF0000"/>
        <w:spacing w:val="6"/>
        <w:w w:val="77"/>
        <w:sz w:val="88"/>
        <w:szCs w:val="88"/>
        <w:fitText w:val="8194" w:id="-1824355840"/>
      </w:rPr>
      <w:t>京力生心血管健康基金</w:t>
    </w:r>
    <w:r w:rsidRPr="00E66EFA">
      <w:rPr>
        <w:rFonts w:ascii="宋体" w:eastAsia="宋体" w:hAnsi="宋体"/>
        <w:b/>
        <w:bCs/>
        <w:color w:val="FF0000"/>
        <w:spacing w:val="-32"/>
        <w:w w:val="77"/>
        <w:sz w:val="88"/>
        <w:szCs w:val="88"/>
        <w:fitText w:val="8194" w:id="-1824355840"/>
      </w:rPr>
      <w:t>会</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D2" w14:textId="117207A3" w:rsidR="009532A4" w:rsidRDefault="00000000">
    <w:pPr>
      <w:pStyle w:val="a3"/>
    </w:pPr>
    <w:r>
      <w:rPr>
        <w:noProof/>
      </w:rPr>
      <w:pict w14:anchorId="5E9B9F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948234" o:spid="_x0000_s1028" type="#_x0000_t75" style="position:absolute;left:0;text-align:left;margin-left:0;margin-top:0;width:159.35pt;height:119.25pt;z-index:-251658240;mso-position-horizontal:center;mso-position-horizontal-relative:margin;mso-position-vertical:center;mso-position-vertical-relative:margin" o:allowincell="f">
          <v:imagedata r:id="rId1" o:title="力生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7D4"/>
    <w:multiLevelType w:val="hybridMultilevel"/>
    <w:tmpl w:val="00948C7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F5B58F5"/>
    <w:multiLevelType w:val="multilevel"/>
    <w:tmpl w:val="0F5B58F5"/>
    <w:lvl w:ilvl="0">
      <w:start w:val="1"/>
      <w:numFmt w:val="japaneseCounting"/>
      <w:lvlText w:val="第%1章"/>
      <w:lvlJc w:val="left"/>
      <w:pPr>
        <w:ind w:left="4163" w:hanging="1080"/>
      </w:pPr>
      <w:rPr>
        <w:rFonts w:hint="default"/>
      </w:rPr>
    </w:lvl>
    <w:lvl w:ilvl="1" w:tentative="1">
      <w:start w:val="1"/>
      <w:numFmt w:val="lowerLetter"/>
      <w:lvlText w:val="%2)"/>
      <w:lvlJc w:val="left"/>
      <w:pPr>
        <w:ind w:left="3923" w:hanging="420"/>
      </w:pPr>
    </w:lvl>
    <w:lvl w:ilvl="2" w:tentative="1">
      <w:start w:val="1"/>
      <w:numFmt w:val="lowerRoman"/>
      <w:lvlText w:val="%3."/>
      <w:lvlJc w:val="right"/>
      <w:pPr>
        <w:ind w:left="4343" w:hanging="420"/>
      </w:pPr>
    </w:lvl>
    <w:lvl w:ilvl="3" w:tentative="1">
      <w:start w:val="1"/>
      <w:numFmt w:val="decimal"/>
      <w:lvlText w:val="%4."/>
      <w:lvlJc w:val="left"/>
      <w:pPr>
        <w:ind w:left="4763" w:hanging="420"/>
      </w:pPr>
    </w:lvl>
    <w:lvl w:ilvl="4" w:tentative="1">
      <w:start w:val="1"/>
      <w:numFmt w:val="lowerLetter"/>
      <w:lvlText w:val="%5)"/>
      <w:lvlJc w:val="left"/>
      <w:pPr>
        <w:ind w:left="5183" w:hanging="420"/>
      </w:pPr>
    </w:lvl>
    <w:lvl w:ilvl="5" w:tentative="1">
      <w:start w:val="1"/>
      <w:numFmt w:val="lowerRoman"/>
      <w:lvlText w:val="%6."/>
      <w:lvlJc w:val="right"/>
      <w:pPr>
        <w:ind w:left="5603" w:hanging="420"/>
      </w:pPr>
    </w:lvl>
    <w:lvl w:ilvl="6" w:tentative="1">
      <w:start w:val="1"/>
      <w:numFmt w:val="decimal"/>
      <w:lvlText w:val="%7."/>
      <w:lvlJc w:val="left"/>
      <w:pPr>
        <w:ind w:left="6023" w:hanging="420"/>
      </w:pPr>
    </w:lvl>
    <w:lvl w:ilvl="7" w:tentative="1">
      <w:start w:val="1"/>
      <w:numFmt w:val="lowerLetter"/>
      <w:lvlText w:val="%8)"/>
      <w:lvlJc w:val="left"/>
      <w:pPr>
        <w:ind w:left="6443" w:hanging="420"/>
      </w:pPr>
    </w:lvl>
    <w:lvl w:ilvl="8" w:tentative="1">
      <w:start w:val="1"/>
      <w:numFmt w:val="lowerRoman"/>
      <w:lvlText w:val="%9."/>
      <w:lvlJc w:val="right"/>
      <w:pPr>
        <w:ind w:left="6863" w:hanging="420"/>
      </w:pPr>
    </w:lvl>
  </w:abstractNum>
  <w:abstractNum w:abstractNumId="2" w15:restartNumberingAfterBreak="0">
    <w:nsid w:val="1B0E17B8"/>
    <w:multiLevelType w:val="hybridMultilevel"/>
    <w:tmpl w:val="5A5CF14A"/>
    <w:lvl w:ilvl="0" w:tplc="9712F338">
      <w:start w:val="1"/>
      <w:numFmt w:val="decimal"/>
      <w:lvlText w:val="%1."/>
      <w:lvlJc w:val="left"/>
      <w:pPr>
        <w:ind w:left="930" w:hanging="36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3" w15:restartNumberingAfterBreak="0">
    <w:nsid w:val="1DB434C4"/>
    <w:multiLevelType w:val="hybridMultilevel"/>
    <w:tmpl w:val="A8B2507A"/>
    <w:lvl w:ilvl="0" w:tplc="2D0A47D2">
      <w:start w:val="1"/>
      <w:numFmt w:val="decimal"/>
      <w:lvlText w:val="%1."/>
      <w:lvlJc w:val="left"/>
      <w:pPr>
        <w:ind w:left="780" w:hanging="360"/>
      </w:pPr>
      <w:rPr>
        <w:rFonts w:hint="default"/>
        <w:sz w:val="24"/>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A82423D"/>
    <w:multiLevelType w:val="hybridMultilevel"/>
    <w:tmpl w:val="5FFCADC0"/>
    <w:lvl w:ilvl="0" w:tplc="186A0F3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60E5020"/>
    <w:multiLevelType w:val="hybridMultilevel"/>
    <w:tmpl w:val="157A62F0"/>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72336882">
    <w:abstractNumId w:val="4"/>
  </w:num>
  <w:num w:numId="2" w16cid:durableId="1253470568">
    <w:abstractNumId w:val="3"/>
  </w:num>
  <w:num w:numId="3" w16cid:durableId="1592926596">
    <w:abstractNumId w:val="0"/>
  </w:num>
  <w:num w:numId="4" w16cid:durableId="498425759">
    <w:abstractNumId w:val="5"/>
  </w:num>
  <w:num w:numId="5" w16cid:durableId="746269462">
    <w:abstractNumId w:val="2"/>
  </w:num>
  <w:num w:numId="6" w16cid:durableId="1710495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A4"/>
    <w:rsid w:val="00017A17"/>
    <w:rsid w:val="00023397"/>
    <w:rsid w:val="000B49B0"/>
    <w:rsid w:val="000C312B"/>
    <w:rsid w:val="00126FF8"/>
    <w:rsid w:val="00171CE8"/>
    <w:rsid w:val="001860A4"/>
    <w:rsid w:val="001B62A4"/>
    <w:rsid w:val="0025778A"/>
    <w:rsid w:val="00303FC2"/>
    <w:rsid w:val="003B415C"/>
    <w:rsid w:val="00480B3E"/>
    <w:rsid w:val="004D7440"/>
    <w:rsid w:val="0052022B"/>
    <w:rsid w:val="00537DD4"/>
    <w:rsid w:val="005D7E8A"/>
    <w:rsid w:val="00613855"/>
    <w:rsid w:val="006E700B"/>
    <w:rsid w:val="00751441"/>
    <w:rsid w:val="00762B2A"/>
    <w:rsid w:val="008139E6"/>
    <w:rsid w:val="00854A16"/>
    <w:rsid w:val="00880F6F"/>
    <w:rsid w:val="0093159E"/>
    <w:rsid w:val="009532A4"/>
    <w:rsid w:val="00A15CE6"/>
    <w:rsid w:val="00A44519"/>
    <w:rsid w:val="00A561D9"/>
    <w:rsid w:val="00A87684"/>
    <w:rsid w:val="00AA4865"/>
    <w:rsid w:val="00AF52CD"/>
    <w:rsid w:val="00B10F00"/>
    <w:rsid w:val="00B75F6B"/>
    <w:rsid w:val="00BA40DD"/>
    <w:rsid w:val="00D33A96"/>
    <w:rsid w:val="00E66EFA"/>
    <w:rsid w:val="00F44F98"/>
    <w:rsid w:val="00F47FBD"/>
    <w:rsid w:val="00F47FF0"/>
    <w:rsid w:val="00F51E88"/>
    <w:rsid w:val="00F72491"/>
    <w:rsid w:val="00FA1F58"/>
    <w:rsid w:val="00FB5868"/>
    <w:rsid w:val="00FC2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353E"/>
  <w15:chartTrackingRefBased/>
  <w15:docId w15:val="{E6C9A43D-8640-4AC4-BB88-CF65853F6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C312B"/>
    <w:pPr>
      <w:widowControl/>
      <w:pBdr>
        <w:bottom w:val="thinThickSmallGap" w:sz="12" w:space="1" w:color="C45911" w:themeColor="accent2" w:themeShade="BF"/>
      </w:pBdr>
      <w:spacing w:before="400" w:after="200" w:line="252" w:lineRule="auto"/>
      <w:jc w:val="center"/>
      <w:outlineLvl w:val="0"/>
    </w:pPr>
    <w:rPr>
      <w:rFonts w:asciiTheme="majorHAnsi" w:eastAsiaTheme="majorEastAsia" w:hAnsiTheme="majorHAnsi" w:cstheme="majorBidi"/>
      <w:caps/>
      <w:color w:val="833C0B" w:themeColor="accent2" w:themeShade="80"/>
      <w:spacing w:val="20"/>
      <w:kern w:val="0"/>
      <w:sz w:val="28"/>
      <w:szCs w:val="28"/>
    </w:rPr>
  </w:style>
  <w:style w:type="paragraph" w:styleId="3">
    <w:name w:val="heading 3"/>
    <w:basedOn w:val="a"/>
    <w:next w:val="a"/>
    <w:link w:val="30"/>
    <w:uiPriority w:val="9"/>
    <w:unhideWhenUsed/>
    <w:qFormat/>
    <w:rsid w:val="000C312B"/>
    <w:pPr>
      <w:widowControl/>
      <w:pBdr>
        <w:top w:val="dotted" w:sz="4" w:space="1" w:color="823B0B" w:themeColor="accent2" w:themeShade="7F"/>
        <w:bottom w:val="dotted" w:sz="4" w:space="1" w:color="823B0B" w:themeColor="accent2" w:themeShade="7F"/>
      </w:pBdr>
      <w:spacing w:before="300" w:after="200" w:line="252" w:lineRule="auto"/>
      <w:jc w:val="center"/>
      <w:outlineLvl w:val="2"/>
    </w:pPr>
    <w:rPr>
      <w:rFonts w:asciiTheme="majorHAnsi" w:eastAsiaTheme="majorEastAsia" w:hAnsiTheme="majorHAnsi" w:cstheme="majorBidi"/>
      <w:caps/>
      <w:color w:val="823B0B" w:themeColor="accent2" w:themeShade="7F"/>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32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32A4"/>
    <w:rPr>
      <w:sz w:val="18"/>
      <w:szCs w:val="18"/>
    </w:rPr>
  </w:style>
  <w:style w:type="paragraph" w:styleId="a5">
    <w:name w:val="footer"/>
    <w:basedOn w:val="a"/>
    <w:link w:val="a6"/>
    <w:uiPriority w:val="99"/>
    <w:unhideWhenUsed/>
    <w:rsid w:val="009532A4"/>
    <w:pPr>
      <w:tabs>
        <w:tab w:val="center" w:pos="4153"/>
        <w:tab w:val="right" w:pos="8306"/>
      </w:tabs>
      <w:snapToGrid w:val="0"/>
      <w:jc w:val="left"/>
    </w:pPr>
    <w:rPr>
      <w:sz w:val="18"/>
      <w:szCs w:val="18"/>
    </w:rPr>
  </w:style>
  <w:style w:type="character" w:customStyle="1" w:styleId="a6">
    <w:name w:val="页脚 字符"/>
    <w:basedOn w:val="a0"/>
    <w:link w:val="a5"/>
    <w:uiPriority w:val="99"/>
    <w:rsid w:val="009532A4"/>
    <w:rPr>
      <w:sz w:val="18"/>
      <w:szCs w:val="18"/>
    </w:rPr>
  </w:style>
  <w:style w:type="character" w:customStyle="1" w:styleId="10">
    <w:name w:val="标题 1 字符"/>
    <w:basedOn w:val="a0"/>
    <w:link w:val="1"/>
    <w:uiPriority w:val="9"/>
    <w:rsid w:val="000C312B"/>
    <w:rPr>
      <w:rFonts w:asciiTheme="majorHAnsi" w:eastAsiaTheme="majorEastAsia" w:hAnsiTheme="majorHAnsi" w:cstheme="majorBidi"/>
      <w:caps/>
      <w:color w:val="833C0B" w:themeColor="accent2" w:themeShade="80"/>
      <w:spacing w:val="20"/>
      <w:kern w:val="0"/>
      <w:sz w:val="28"/>
      <w:szCs w:val="28"/>
    </w:rPr>
  </w:style>
  <w:style w:type="character" w:customStyle="1" w:styleId="30">
    <w:name w:val="标题 3 字符"/>
    <w:basedOn w:val="a0"/>
    <w:link w:val="3"/>
    <w:uiPriority w:val="9"/>
    <w:rsid w:val="000C312B"/>
    <w:rPr>
      <w:rFonts w:asciiTheme="majorHAnsi" w:eastAsiaTheme="majorEastAsia" w:hAnsiTheme="majorHAnsi" w:cstheme="majorBidi"/>
      <w:caps/>
      <w:color w:val="823B0B" w:themeColor="accent2" w:themeShade="7F"/>
      <w:kern w:val="0"/>
      <w:sz w:val="24"/>
      <w:szCs w:val="24"/>
    </w:rPr>
  </w:style>
  <w:style w:type="paragraph" w:styleId="a7">
    <w:name w:val="Normal (Web)"/>
    <w:basedOn w:val="a"/>
    <w:rsid w:val="000C312B"/>
    <w:pPr>
      <w:widowControl/>
      <w:spacing w:before="100" w:beforeAutospacing="1" w:after="100" w:afterAutospacing="1" w:line="252" w:lineRule="auto"/>
      <w:jc w:val="left"/>
    </w:pPr>
    <w:rPr>
      <w:rFonts w:asciiTheme="majorHAnsi" w:eastAsiaTheme="majorEastAsia" w:hAnsiTheme="majorHAnsi" w:cs="Times New Roman"/>
      <w:kern w:val="0"/>
      <w:sz w:val="24"/>
    </w:rPr>
  </w:style>
  <w:style w:type="paragraph" w:styleId="a8">
    <w:name w:val="Title"/>
    <w:basedOn w:val="a"/>
    <w:next w:val="a"/>
    <w:link w:val="a9"/>
    <w:uiPriority w:val="10"/>
    <w:qFormat/>
    <w:rsid w:val="000C312B"/>
    <w:pPr>
      <w:widowControl/>
      <w:pBdr>
        <w:top w:val="dotted" w:sz="2" w:space="1" w:color="833C0B" w:themeColor="accent2" w:themeShade="80"/>
        <w:bottom w:val="dotted" w:sz="2" w:space="6" w:color="833C0B" w:themeColor="accent2" w:themeShade="80"/>
      </w:pBdr>
      <w:spacing w:before="500" w:after="300"/>
      <w:jc w:val="center"/>
    </w:pPr>
    <w:rPr>
      <w:rFonts w:asciiTheme="majorHAnsi" w:eastAsiaTheme="majorEastAsia" w:hAnsiTheme="majorHAnsi" w:cstheme="majorBidi"/>
      <w:caps/>
      <w:color w:val="833C0B" w:themeColor="accent2" w:themeShade="80"/>
      <w:spacing w:val="50"/>
      <w:kern w:val="0"/>
      <w:sz w:val="44"/>
      <w:szCs w:val="44"/>
    </w:rPr>
  </w:style>
  <w:style w:type="character" w:customStyle="1" w:styleId="a9">
    <w:name w:val="标题 字符"/>
    <w:basedOn w:val="a0"/>
    <w:link w:val="a8"/>
    <w:uiPriority w:val="10"/>
    <w:rsid w:val="000C312B"/>
    <w:rPr>
      <w:rFonts w:asciiTheme="majorHAnsi" w:eastAsiaTheme="majorEastAsia" w:hAnsiTheme="majorHAnsi" w:cstheme="majorBidi"/>
      <w:caps/>
      <w:color w:val="833C0B" w:themeColor="accent2" w:themeShade="80"/>
      <w:spacing w:val="50"/>
      <w:kern w:val="0"/>
      <w:sz w:val="44"/>
      <w:szCs w:val="44"/>
    </w:rPr>
  </w:style>
  <w:style w:type="paragraph" w:styleId="aa">
    <w:name w:val="List Paragraph"/>
    <w:basedOn w:val="a"/>
    <w:uiPriority w:val="34"/>
    <w:qFormat/>
    <w:rsid w:val="000C312B"/>
    <w:pPr>
      <w:widowControl/>
      <w:spacing w:after="200" w:line="252" w:lineRule="auto"/>
      <w:ind w:left="720"/>
      <w:contextualSpacing/>
      <w:jc w:val="left"/>
    </w:pPr>
    <w:rPr>
      <w:rFonts w:asciiTheme="majorHAnsi" w:eastAsiaTheme="majorEastAsia" w:hAnsiTheme="majorHAnsi" w:cstheme="majorBidi"/>
      <w:kern w:val="0"/>
      <w:sz w:val="22"/>
    </w:rPr>
  </w:style>
  <w:style w:type="character" w:styleId="ab">
    <w:name w:val="Subtle Emphasis"/>
    <w:basedOn w:val="a0"/>
    <w:uiPriority w:val="19"/>
    <w:qFormat/>
    <w:rsid w:val="00613855"/>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1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CCD8-0EEB-480F-A8DF-2869AF047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Words>
  <Characters>483</Characters>
  <Application>Microsoft Office Word</Application>
  <DocSecurity>0</DocSecurity>
  <Lines>4</Lines>
  <Paragraphs>1</Paragraphs>
  <ScaleCrop>false</ScaleCrop>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东文</dc:creator>
  <cp:keywords/>
  <dc:description/>
  <cp:lastModifiedBy>东文 张</cp:lastModifiedBy>
  <cp:revision>4</cp:revision>
  <cp:lastPrinted>2021-03-08T02:11:00Z</cp:lastPrinted>
  <dcterms:created xsi:type="dcterms:W3CDTF">2023-11-01T08:29:00Z</dcterms:created>
  <dcterms:modified xsi:type="dcterms:W3CDTF">2023-11-13T08:07:00Z</dcterms:modified>
</cp:coreProperties>
</file>